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8725A" w14:textId="77777777" w:rsidR="00E42181" w:rsidRDefault="00E42181" w:rsidP="00E42181">
      <w:pPr>
        <w:jc w:val="center"/>
        <w:rPr>
          <w:b/>
          <w:sz w:val="32"/>
        </w:rPr>
      </w:pPr>
      <w:r>
        <w:rPr>
          <w:b/>
          <w:sz w:val="32"/>
        </w:rPr>
        <w:t>Environnements et pouvoir : approche critique</w:t>
      </w:r>
    </w:p>
    <w:p w14:paraId="4AB79F57" w14:textId="1E55B9C8" w:rsidR="00E42181" w:rsidRDefault="004F0A36" w:rsidP="00E42181">
      <w:pPr>
        <w:jc w:val="center"/>
        <w:rPr>
          <w:sz w:val="32"/>
        </w:rPr>
      </w:pPr>
      <w:proofErr w:type="spellStart"/>
      <w:r>
        <w:rPr>
          <w:sz w:val="32"/>
        </w:rPr>
        <w:t>Dall’Aglio</w:t>
      </w:r>
      <w:proofErr w:type="spellEnd"/>
      <w:r>
        <w:rPr>
          <w:sz w:val="32"/>
        </w:rPr>
        <w:t xml:space="preserve"> L.</w:t>
      </w:r>
      <w:r w:rsidR="00AF7276">
        <w:rPr>
          <w:sz w:val="32"/>
        </w:rPr>
        <w:t xml:space="preserve">, </w:t>
      </w:r>
      <w:r w:rsidR="00E42181">
        <w:rPr>
          <w:sz w:val="32"/>
        </w:rPr>
        <w:t>Le Lay Y.-F</w:t>
      </w:r>
      <w:r w:rsidR="00AF7276">
        <w:rPr>
          <w:sz w:val="32"/>
        </w:rPr>
        <w:t xml:space="preserve"> et Préault M</w:t>
      </w:r>
      <w:r w:rsidR="00E42181">
        <w:rPr>
          <w:sz w:val="32"/>
        </w:rPr>
        <w:t>.</w:t>
      </w:r>
    </w:p>
    <w:p w14:paraId="0168B2BD" w14:textId="77777777" w:rsidR="00E42181" w:rsidRDefault="00E42181" w:rsidP="00E42181">
      <w:pPr>
        <w:jc w:val="center"/>
        <w:rPr>
          <w:i/>
          <w:sz w:val="28"/>
        </w:rPr>
      </w:pPr>
      <w:r>
        <w:rPr>
          <w:i/>
          <w:sz w:val="28"/>
        </w:rPr>
        <w:t>Le vendredi matin, de 9h à 12h, à l’Ecole normale supérieure de Lyon</w:t>
      </w:r>
    </w:p>
    <w:p w14:paraId="289D9FE1" w14:textId="77777777" w:rsidR="00432438" w:rsidRDefault="00432438" w:rsidP="00E42181">
      <w:pPr>
        <w:pStyle w:val="Paragraphedeliste"/>
        <w:numPr>
          <w:ilvl w:val="0"/>
          <w:numId w:val="2"/>
        </w:numPr>
        <w:jc w:val="center"/>
        <w:rPr>
          <w:szCs w:val="20"/>
          <w:u w:val="single"/>
        </w:rPr>
      </w:pPr>
    </w:p>
    <w:p w14:paraId="420B3C74" w14:textId="77777777" w:rsidR="00432438" w:rsidRDefault="00432438" w:rsidP="00E42181">
      <w:pPr>
        <w:pStyle w:val="Paragraphedeliste"/>
        <w:numPr>
          <w:ilvl w:val="0"/>
          <w:numId w:val="2"/>
        </w:numPr>
        <w:jc w:val="center"/>
        <w:rPr>
          <w:szCs w:val="20"/>
          <w:u w:val="single"/>
        </w:rPr>
      </w:pPr>
    </w:p>
    <w:p w14:paraId="441AF895" w14:textId="77777777" w:rsidR="0043684B" w:rsidRPr="0006640B" w:rsidRDefault="00E42181" w:rsidP="00E42181">
      <w:pPr>
        <w:pStyle w:val="Paragraphedeliste"/>
        <w:numPr>
          <w:ilvl w:val="0"/>
          <w:numId w:val="2"/>
        </w:numPr>
        <w:jc w:val="center"/>
        <w:rPr>
          <w:szCs w:val="20"/>
          <w:u w:val="single"/>
        </w:rPr>
      </w:pPr>
      <w:r w:rsidRPr="00FD474A">
        <w:rPr>
          <w:noProof/>
          <w:szCs w:val="20"/>
          <w:u w:val="single"/>
          <w:lang w:eastAsia="fr-FR"/>
        </w:rPr>
        <w:t xml:space="preserve"> </w:t>
      </w:r>
      <w:r w:rsidR="00FD474A" w:rsidRPr="00FD474A">
        <w:rPr>
          <w:noProof/>
          <w:szCs w:val="20"/>
          <w:u w:val="single"/>
          <w:lang w:eastAsia="fr-FR"/>
        </w:rPr>
        <w:drawing>
          <wp:inline distT="0" distB="0" distL="0" distR="0" wp14:anchorId="414A93DC" wp14:editId="65172D72">
            <wp:extent cx="3683000" cy="3055937"/>
            <wp:effectExtent l="0" t="0" r="0" b="0"/>
            <wp:docPr id="4102" name="Picture 5" descr="C:\Users\ylelay01\Documents\ENS\Master\Sciences_Sociales\Perception\Figures\marai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5" descr="C:\Users\ylelay01\Documents\ENS\Master\Sciences_Sociales\Perception\Figures\marais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3000" cy="3055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9BF4465" w14:textId="77777777" w:rsidR="0043684B" w:rsidRPr="0006640B" w:rsidRDefault="00FD474A" w:rsidP="0043684B">
      <w:pPr>
        <w:ind w:left="360"/>
        <w:jc w:val="center"/>
        <w:rPr>
          <w:szCs w:val="20"/>
        </w:rPr>
      </w:pPr>
      <w:proofErr w:type="spellStart"/>
      <w:r>
        <w:rPr>
          <w:szCs w:val="20"/>
        </w:rPr>
        <w:t>Kaï</w:t>
      </w:r>
      <w:proofErr w:type="spellEnd"/>
      <w:r>
        <w:rPr>
          <w:szCs w:val="20"/>
        </w:rPr>
        <w:t>, moulage installé en novembre 2015 dans le quartier du Marais, à Paris.</w:t>
      </w:r>
    </w:p>
    <w:p w14:paraId="19AFAF7C" w14:textId="77777777" w:rsidR="0043684B" w:rsidRDefault="0043684B" w:rsidP="00572ED1">
      <w:pPr>
        <w:jc w:val="both"/>
      </w:pPr>
    </w:p>
    <w:p w14:paraId="03EBE4E5" w14:textId="77777777" w:rsidR="00700D86" w:rsidRDefault="00700D86" w:rsidP="00700D86">
      <w:pPr>
        <w:jc w:val="both"/>
      </w:pPr>
      <w:r>
        <w:t xml:space="preserve">Ce module s’intéresse aux environnements en tirant parti des apports des géographies radicale et critique, de la </w:t>
      </w:r>
      <w:proofErr w:type="spellStart"/>
      <w:r w:rsidRPr="002E7A30">
        <w:rPr>
          <w:i/>
        </w:rPr>
        <w:t>political</w:t>
      </w:r>
      <w:proofErr w:type="spellEnd"/>
      <w:r w:rsidRPr="002E7A30">
        <w:rPr>
          <w:i/>
        </w:rPr>
        <w:t xml:space="preserve"> </w:t>
      </w:r>
      <w:proofErr w:type="spellStart"/>
      <w:r w:rsidRPr="002E7A30">
        <w:rPr>
          <w:i/>
        </w:rPr>
        <w:t>ecology</w:t>
      </w:r>
      <w:proofErr w:type="spellEnd"/>
      <w:r>
        <w:t>, de la théorie de l’acteur-réseau et de l’histoire environnementale. Dans cette perspective, des systèmes socio-écologiques seront appréhendés de manière intégrée, en combinant la compréhension des processus biophysiques à l’analyse critique de leur dimension sociale, économique et culturelle. Les cours mettront en valeur les inégalités socio-environnementales et les relations asymétriques qui y sont à l’œuvre. A la croisée des dimensions politique et écologique, une telle approche prend au sérieux les différents acteurs et les intérêts qu’ils défendent, ainsi que la répartition des bénéfices et des coûts entre divers groupes sociaux. Les huit séances aborderont notamment la production des connaissances (tant expertes que vernaculaires) sur l’environnement, leur diffusion à travers les publications scientifiques, le dispositif juridique ou les films documentaires, ou encore la compréhension des conflits liés aux ressources et à l’environnement. Il s’agira de montrer comment le pouvoir institutionnel, l’histoire politique, les idées, les normes culturelles, l’activisme environnemental, les projets scientifiques ou la motivation à agir contribuent tous à expliquer nos environnements contemporains.</w:t>
      </w:r>
    </w:p>
    <w:p w14:paraId="0BB8C530" w14:textId="77777777" w:rsidR="00700D86" w:rsidRDefault="00700D86" w:rsidP="00700D86">
      <w:pPr>
        <w:jc w:val="both"/>
      </w:pPr>
      <w:r>
        <w:t xml:space="preserve">Des études de cas seront développées dans les pays du Nord comme des Suds, en soulignant d’éventuelles tensions entre les différents échelons. Bien souvent, les conflits locaux doivent beaucoup </w:t>
      </w:r>
      <w:r>
        <w:lastRenderedPageBreak/>
        <w:t>aux discours dominants et à des mécanismes politiques au niveau (inter)national. De plus, pour rendre compte des mutations que connaissent des systèmes socio-écologiques, une approche diachronique sera mobilisée non seulement en recourant aux données sur l’environnement mais aussi en adoptant une démarche d’histoire environnementale. L’un des enjeux sera de prendre la mesure du tournant – ou pas – qu’ont pu constituer les années 1970, époque de l’invention de l’écologie politique et d’une « politique de l’environnement », en les resituant dans une durée plus longue.</w:t>
      </w:r>
    </w:p>
    <w:p w14:paraId="4A718B6B" w14:textId="77777777" w:rsidR="00700D86" w:rsidRDefault="00700D86" w:rsidP="00700D86">
      <w:pPr>
        <w:jc w:val="both"/>
      </w:pPr>
    </w:p>
    <w:p w14:paraId="00FE5E91" w14:textId="77777777" w:rsidR="00700D86" w:rsidRPr="002147D2" w:rsidRDefault="00700D86" w:rsidP="00700D86">
      <w:pPr>
        <w:jc w:val="both"/>
        <w:rPr>
          <w:b/>
          <w:sz w:val="28"/>
        </w:rPr>
      </w:pPr>
      <w:r w:rsidRPr="002147D2">
        <w:rPr>
          <w:b/>
          <w:sz w:val="28"/>
        </w:rPr>
        <w:t>Modalités d’évaluation</w:t>
      </w:r>
    </w:p>
    <w:p w14:paraId="397E9A39" w14:textId="6BC19449" w:rsidR="004F4D48" w:rsidRDefault="004F4D48" w:rsidP="004F4D48">
      <w:pPr>
        <w:jc w:val="both"/>
      </w:pPr>
      <w:r w:rsidRPr="00572ED1">
        <w:t xml:space="preserve">Les </w:t>
      </w:r>
      <w:proofErr w:type="spellStart"/>
      <w:r w:rsidRPr="00572ED1">
        <w:t>étudian</w:t>
      </w:r>
      <w:r>
        <w:t>t</w:t>
      </w:r>
      <w:r w:rsidR="00AF7276">
        <w:t>·e·</w:t>
      </w:r>
      <w:r>
        <w:t>s</w:t>
      </w:r>
      <w:proofErr w:type="spellEnd"/>
      <w:r>
        <w:t xml:space="preserve"> seront </w:t>
      </w:r>
      <w:proofErr w:type="spellStart"/>
      <w:r>
        <w:t>évalué</w:t>
      </w:r>
      <w:r w:rsidR="00AF7276">
        <w:t>·e·</w:t>
      </w:r>
      <w:r>
        <w:t>s</w:t>
      </w:r>
      <w:proofErr w:type="spellEnd"/>
      <w:r>
        <w:t xml:space="preserve"> sur le compte-rendu critique (en français) d’un article scientifique publié </w:t>
      </w:r>
      <w:r w:rsidR="00AF7276">
        <w:t>(</w:t>
      </w:r>
      <w:r>
        <w:t>en anglais</w:t>
      </w:r>
      <w:r w:rsidR="00AF7276">
        <w:t>) dans une revue d’audience internationale</w:t>
      </w:r>
      <w:r>
        <w:t>. Il fera l’objet de deux notes (synthèse et critique).</w:t>
      </w:r>
    </w:p>
    <w:p w14:paraId="48EF435E" w14:textId="77777777" w:rsidR="004F4D48" w:rsidRDefault="004F4D48" w:rsidP="004F4D48">
      <w:pPr>
        <w:jc w:val="both"/>
      </w:pPr>
    </w:p>
    <w:p w14:paraId="1DF8371B" w14:textId="77777777" w:rsidR="00700D86" w:rsidRPr="009D25F5" w:rsidRDefault="00700D86" w:rsidP="00700D86">
      <w:pPr>
        <w:jc w:val="both"/>
        <w:rPr>
          <w:b/>
          <w:sz w:val="28"/>
        </w:rPr>
      </w:pPr>
      <w:r w:rsidRPr="009D25F5">
        <w:rPr>
          <w:b/>
          <w:sz w:val="28"/>
        </w:rPr>
        <w:t>Compétences</w:t>
      </w:r>
      <w:r>
        <w:rPr>
          <w:b/>
          <w:sz w:val="28"/>
        </w:rPr>
        <w:t xml:space="preserve"> visées</w:t>
      </w:r>
    </w:p>
    <w:p w14:paraId="5666C4FF" w14:textId="77777777" w:rsidR="00700D86" w:rsidRDefault="00700D86" w:rsidP="00700D86">
      <w:pPr>
        <w:pStyle w:val="Paragraphedeliste"/>
        <w:numPr>
          <w:ilvl w:val="0"/>
          <w:numId w:val="3"/>
        </w:numPr>
        <w:spacing w:after="0"/>
        <w:jc w:val="both"/>
        <w:rPr>
          <w:rFonts w:ascii="Calibri" w:hAnsi="Calibri" w:cs="Arial"/>
          <w:szCs w:val="21"/>
          <w:shd w:val="clear" w:color="auto" w:fill="FFFFFF"/>
        </w:rPr>
      </w:pPr>
      <w:r w:rsidRPr="0056093D">
        <w:rPr>
          <w:rFonts w:ascii="Calibri" w:hAnsi="Calibri" w:cs="Arial"/>
          <w:szCs w:val="21"/>
          <w:shd w:val="clear" w:color="auto" w:fill="FFFFFF"/>
        </w:rPr>
        <w:t xml:space="preserve">Développer une conscience critique des savoirs dans le domaine </w:t>
      </w:r>
      <w:r>
        <w:rPr>
          <w:rFonts w:ascii="Calibri" w:hAnsi="Calibri" w:cs="Arial"/>
          <w:szCs w:val="21"/>
          <w:shd w:val="clear" w:color="auto" w:fill="FFFFFF"/>
        </w:rPr>
        <w:t>des études environnementales</w:t>
      </w:r>
    </w:p>
    <w:p w14:paraId="3FA061B3" w14:textId="77777777" w:rsidR="00700D86" w:rsidRPr="008D0D96" w:rsidRDefault="00700D86" w:rsidP="00700D86">
      <w:pPr>
        <w:pStyle w:val="Paragraphedeliste"/>
        <w:numPr>
          <w:ilvl w:val="0"/>
          <w:numId w:val="3"/>
        </w:numPr>
        <w:spacing w:after="0"/>
        <w:jc w:val="both"/>
        <w:rPr>
          <w:rFonts w:ascii="Calibri" w:hAnsi="Calibri" w:cs="Arial"/>
          <w:szCs w:val="21"/>
          <w:shd w:val="clear" w:color="auto" w:fill="FFFFFF"/>
        </w:rPr>
      </w:pPr>
      <w:r w:rsidRPr="0056093D">
        <w:rPr>
          <w:rFonts w:ascii="Calibri" w:hAnsi="Calibri" w:cs="Arial"/>
          <w:szCs w:val="21"/>
          <w:shd w:val="clear" w:color="auto" w:fill="FFFFFF"/>
        </w:rPr>
        <w:t>Conduire une analyse réflexive et distanciée prenant en compte les enjeux, les problématiques et la complexité d’une demande ou d’une situation afin de proposer des solutions adaptées et/ou innovantes en respect des évolutions de la réglementation</w:t>
      </w:r>
    </w:p>
    <w:p w14:paraId="06D0DB8F" w14:textId="77777777" w:rsidR="004F4D48" w:rsidRDefault="004F4D48" w:rsidP="00700D86">
      <w:pPr>
        <w:jc w:val="both"/>
      </w:pPr>
    </w:p>
    <w:p w14:paraId="1583B406" w14:textId="77777777" w:rsidR="008A1774" w:rsidRPr="002147D2" w:rsidRDefault="008A1774" w:rsidP="00C30663">
      <w:pPr>
        <w:jc w:val="both"/>
        <w:rPr>
          <w:b/>
          <w:sz w:val="28"/>
        </w:rPr>
      </w:pPr>
      <w:r w:rsidRPr="002147D2">
        <w:rPr>
          <w:b/>
          <w:sz w:val="28"/>
        </w:rPr>
        <w:t>Détail des séances</w:t>
      </w:r>
    </w:p>
    <w:p w14:paraId="789E110F" w14:textId="77777777" w:rsidR="004F4D48" w:rsidRDefault="00B55A3E" w:rsidP="00C30663">
      <w:pPr>
        <w:jc w:val="both"/>
      </w:pPr>
      <w:r>
        <w:t xml:space="preserve">Le programme est articulé autour de huit séances. La lecture préalable </w:t>
      </w:r>
      <w:r w:rsidR="00461ADE">
        <w:t xml:space="preserve">d’un article </w:t>
      </w:r>
      <w:r>
        <w:t xml:space="preserve">mettra l’auditoire dans les meilleures </w:t>
      </w:r>
      <w:r w:rsidR="00FD474A">
        <w:t>conditions pour suivre le cours</w:t>
      </w:r>
      <w:r>
        <w:t>.</w:t>
      </w:r>
      <w:r w:rsidR="00AA3152">
        <w:t xml:space="preserve"> La réflexion pourra ensuite se prolonger en s’immergeant dans un ouvrage plus exigeant.</w:t>
      </w:r>
    </w:p>
    <w:p w14:paraId="63016635" w14:textId="77777777" w:rsidR="004F4D48" w:rsidRPr="0057737D" w:rsidRDefault="004F4D48" w:rsidP="00C30663">
      <w:pPr>
        <w:jc w:val="both"/>
      </w:pPr>
    </w:p>
    <w:p w14:paraId="47BADF89" w14:textId="7ACC432C" w:rsidR="008A1774" w:rsidRPr="002147D2" w:rsidRDefault="00D931FE" w:rsidP="00C30663">
      <w:pPr>
        <w:jc w:val="both"/>
        <w:rPr>
          <w:b/>
        </w:rPr>
      </w:pPr>
      <w:r>
        <w:rPr>
          <w:b/>
        </w:rPr>
        <w:t>1</w:t>
      </w:r>
      <w:r w:rsidR="00AF7276">
        <w:rPr>
          <w:b/>
        </w:rPr>
        <w:t>3</w:t>
      </w:r>
      <w:r w:rsidR="00F42CF5">
        <w:rPr>
          <w:b/>
        </w:rPr>
        <w:t>/09/2</w:t>
      </w:r>
      <w:r w:rsidR="00AF7276">
        <w:rPr>
          <w:b/>
        </w:rPr>
        <w:t>4</w:t>
      </w:r>
      <w:r w:rsidR="00FD474A">
        <w:rPr>
          <w:b/>
        </w:rPr>
        <w:t xml:space="preserve"> – </w:t>
      </w:r>
      <w:r w:rsidR="00FD474A" w:rsidRPr="00FD474A">
        <w:rPr>
          <w:b/>
        </w:rPr>
        <w:t>Environnement</w:t>
      </w:r>
      <w:r w:rsidR="00FD474A">
        <w:rPr>
          <w:b/>
        </w:rPr>
        <w:t xml:space="preserve"> </w:t>
      </w:r>
      <w:r w:rsidR="00FD474A" w:rsidRPr="00FD474A">
        <w:rPr>
          <w:b/>
        </w:rPr>
        <w:t xml:space="preserve">et pouvoir dans la géographie radicale et la </w:t>
      </w:r>
      <w:proofErr w:type="spellStart"/>
      <w:r w:rsidR="00FD474A" w:rsidRPr="00FD474A">
        <w:rPr>
          <w:b/>
          <w:i/>
        </w:rPr>
        <w:t>poli</w:t>
      </w:r>
      <w:r w:rsidR="00745A76">
        <w:rPr>
          <w:b/>
          <w:i/>
        </w:rPr>
        <w:t>ti</w:t>
      </w:r>
      <w:r w:rsidR="00FD474A" w:rsidRPr="00FD474A">
        <w:rPr>
          <w:b/>
          <w:i/>
        </w:rPr>
        <w:t>cal</w:t>
      </w:r>
      <w:proofErr w:type="spellEnd"/>
      <w:r w:rsidR="00FD474A" w:rsidRPr="00FD474A">
        <w:rPr>
          <w:b/>
          <w:i/>
        </w:rPr>
        <w:t xml:space="preserve"> </w:t>
      </w:r>
      <w:proofErr w:type="spellStart"/>
      <w:r w:rsidR="00FD474A" w:rsidRPr="00FD474A">
        <w:rPr>
          <w:b/>
          <w:i/>
        </w:rPr>
        <w:t>ecology</w:t>
      </w:r>
      <w:proofErr w:type="spellEnd"/>
      <w:r w:rsidR="00FD474A">
        <w:rPr>
          <w:b/>
        </w:rPr>
        <w:t xml:space="preserve"> (Y.-F. Le Lay)</w:t>
      </w:r>
    </w:p>
    <w:p w14:paraId="671E7444" w14:textId="77777777" w:rsidR="00AF203A" w:rsidRPr="00461ADE" w:rsidRDefault="00AF203A" w:rsidP="00461ADE">
      <w:pPr>
        <w:spacing w:after="0"/>
        <w:ind w:left="170" w:hanging="170"/>
        <w:jc w:val="both"/>
        <w:rPr>
          <w:sz w:val="20"/>
        </w:rPr>
      </w:pPr>
      <w:r w:rsidRPr="00461ADE">
        <w:rPr>
          <w:sz w:val="20"/>
        </w:rPr>
        <w:t xml:space="preserve">– </w:t>
      </w:r>
      <w:r w:rsidR="00461ADE" w:rsidRPr="00461ADE">
        <w:rPr>
          <w:sz w:val="20"/>
        </w:rPr>
        <w:t xml:space="preserve">Blot F. et </w:t>
      </w:r>
      <w:proofErr w:type="spellStart"/>
      <w:r w:rsidR="00461ADE" w:rsidRPr="00461ADE">
        <w:rPr>
          <w:sz w:val="20"/>
        </w:rPr>
        <w:t>Besteiro</w:t>
      </w:r>
      <w:proofErr w:type="spellEnd"/>
      <w:r w:rsidR="00461ADE" w:rsidRPr="00461ADE">
        <w:rPr>
          <w:sz w:val="20"/>
        </w:rPr>
        <w:t xml:space="preserve"> A. </w:t>
      </w:r>
      <w:r w:rsidR="00461ADE">
        <w:rPr>
          <w:sz w:val="20"/>
        </w:rPr>
        <w:t>G., 2017, « </w:t>
      </w:r>
      <w:r w:rsidR="00461ADE" w:rsidRPr="00461ADE">
        <w:rPr>
          <w:sz w:val="20"/>
        </w:rPr>
        <w:t xml:space="preserve">Contribution de la géographie francophone à la </w:t>
      </w:r>
      <w:proofErr w:type="spellStart"/>
      <w:r w:rsidR="00461ADE" w:rsidRPr="00461ADE">
        <w:rPr>
          <w:i/>
          <w:sz w:val="20"/>
        </w:rPr>
        <w:t>political</w:t>
      </w:r>
      <w:proofErr w:type="spellEnd"/>
      <w:r w:rsidR="00461ADE" w:rsidRPr="00461ADE">
        <w:rPr>
          <w:i/>
          <w:sz w:val="20"/>
        </w:rPr>
        <w:t xml:space="preserve"> </w:t>
      </w:r>
      <w:proofErr w:type="spellStart"/>
      <w:r w:rsidR="00461ADE" w:rsidRPr="00461ADE">
        <w:rPr>
          <w:i/>
          <w:sz w:val="20"/>
        </w:rPr>
        <w:t>ecology</w:t>
      </w:r>
      <w:proofErr w:type="spellEnd"/>
      <w:r w:rsidR="00461ADE">
        <w:rPr>
          <w:sz w:val="20"/>
        </w:rPr>
        <w:t xml:space="preserve">. </w:t>
      </w:r>
      <w:r w:rsidR="00461ADE" w:rsidRPr="00461ADE">
        <w:rPr>
          <w:sz w:val="20"/>
        </w:rPr>
        <w:t>Deux études des relations sociétés/eaux souterraines dans l’Espagne semi-aride</w:t>
      </w:r>
      <w:r w:rsidR="00461ADE">
        <w:rPr>
          <w:sz w:val="20"/>
        </w:rPr>
        <w:t xml:space="preserve"> », </w:t>
      </w:r>
      <w:r w:rsidR="00461ADE" w:rsidRPr="00461ADE">
        <w:rPr>
          <w:i/>
          <w:sz w:val="20"/>
        </w:rPr>
        <w:t>L’Espace géographique</w:t>
      </w:r>
      <w:r w:rsidR="00461ADE">
        <w:rPr>
          <w:sz w:val="20"/>
        </w:rPr>
        <w:t>, tome 46, p. 193-213.</w:t>
      </w:r>
    </w:p>
    <w:p w14:paraId="165F4B51" w14:textId="77777777" w:rsidR="00FA01CE" w:rsidRPr="00FD474A" w:rsidRDefault="00B55A3E" w:rsidP="008F5550">
      <w:pPr>
        <w:spacing w:after="360"/>
        <w:ind w:left="170" w:hanging="170"/>
        <w:jc w:val="both"/>
        <w:rPr>
          <w:sz w:val="20"/>
        </w:rPr>
      </w:pPr>
      <w:r w:rsidRPr="00FD474A">
        <w:t xml:space="preserve">– </w:t>
      </w:r>
      <w:r w:rsidR="00FD474A" w:rsidRPr="00FD474A">
        <w:rPr>
          <w:sz w:val="20"/>
        </w:rPr>
        <w:t xml:space="preserve">Gautier D. et </w:t>
      </w:r>
      <w:proofErr w:type="spellStart"/>
      <w:r w:rsidR="00FD474A" w:rsidRPr="00FD474A">
        <w:rPr>
          <w:sz w:val="20"/>
        </w:rPr>
        <w:t>Benjaminsen</w:t>
      </w:r>
      <w:proofErr w:type="spellEnd"/>
      <w:r w:rsidR="00FD474A" w:rsidRPr="00FD474A">
        <w:rPr>
          <w:sz w:val="20"/>
        </w:rPr>
        <w:t xml:space="preserve"> T. </w:t>
      </w:r>
      <w:r w:rsidR="00FD474A">
        <w:rPr>
          <w:sz w:val="20"/>
        </w:rPr>
        <w:t xml:space="preserve">A., 2012, </w:t>
      </w:r>
      <w:r w:rsidR="00FD474A" w:rsidRPr="00FD474A">
        <w:rPr>
          <w:i/>
          <w:sz w:val="20"/>
        </w:rPr>
        <w:t xml:space="preserve">Environnement, discours et pouvoir. L’approche </w:t>
      </w:r>
      <w:proofErr w:type="spellStart"/>
      <w:r w:rsidR="00FD474A" w:rsidRPr="00FD474A">
        <w:rPr>
          <w:sz w:val="20"/>
        </w:rPr>
        <w:t>Political</w:t>
      </w:r>
      <w:proofErr w:type="spellEnd"/>
      <w:r w:rsidR="00FD474A" w:rsidRPr="00FD474A">
        <w:rPr>
          <w:sz w:val="20"/>
        </w:rPr>
        <w:t xml:space="preserve"> </w:t>
      </w:r>
      <w:proofErr w:type="spellStart"/>
      <w:r w:rsidR="00FD474A" w:rsidRPr="00FD474A">
        <w:rPr>
          <w:sz w:val="20"/>
        </w:rPr>
        <w:t>ecology</w:t>
      </w:r>
      <w:proofErr w:type="spellEnd"/>
      <w:r w:rsidR="00FD474A">
        <w:rPr>
          <w:sz w:val="20"/>
        </w:rPr>
        <w:t xml:space="preserve">, Paris, </w:t>
      </w:r>
      <w:proofErr w:type="spellStart"/>
      <w:r w:rsidR="00FD474A">
        <w:rPr>
          <w:sz w:val="20"/>
        </w:rPr>
        <w:t>Quae</w:t>
      </w:r>
      <w:proofErr w:type="spellEnd"/>
      <w:r w:rsidR="00FD474A">
        <w:rPr>
          <w:sz w:val="20"/>
        </w:rPr>
        <w:t>, 256 p.</w:t>
      </w:r>
    </w:p>
    <w:p w14:paraId="60D92A81" w14:textId="5E13CC0D" w:rsidR="008A1774" w:rsidRPr="003832EF" w:rsidRDefault="00D931FE" w:rsidP="00C30663">
      <w:pPr>
        <w:jc w:val="both"/>
        <w:rPr>
          <w:b/>
        </w:rPr>
      </w:pPr>
      <w:r>
        <w:rPr>
          <w:b/>
        </w:rPr>
        <w:t>2</w:t>
      </w:r>
      <w:r w:rsidR="00794021">
        <w:rPr>
          <w:b/>
        </w:rPr>
        <w:t>0</w:t>
      </w:r>
      <w:r>
        <w:rPr>
          <w:b/>
        </w:rPr>
        <w:t>/09/2</w:t>
      </w:r>
      <w:r w:rsidR="00AF7276">
        <w:rPr>
          <w:b/>
        </w:rPr>
        <w:t>4</w:t>
      </w:r>
      <w:r w:rsidR="00FD474A">
        <w:rPr>
          <w:b/>
        </w:rPr>
        <w:t xml:space="preserve"> – </w:t>
      </w:r>
      <w:r w:rsidR="00FD474A" w:rsidRPr="00FD474A">
        <w:rPr>
          <w:b/>
        </w:rPr>
        <w:t>Vers</w:t>
      </w:r>
      <w:r w:rsidR="00FD474A">
        <w:rPr>
          <w:b/>
        </w:rPr>
        <w:t xml:space="preserve"> </w:t>
      </w:r>
      <w:r w:rsidR="00FD474A" w:rsidRPr="00FD474A">
        <w:rPr>
          <w:b/>
        </w:rPr>
        <w:t>u</w:t>
      </w:r>
      <w:r w:rsidR="00E42181">
        <w:rPr>
          <w:b/>
        </w:rPr>
        <w:t>ne géographie physique critique </w:t>
      </w:r>
      <w:r w:rsidR="00FD474A" w:rsidRPr="00FD474A">
        <w:rPr>
          <w:b/>
        </w:rPr>
        <w:t>?</w:t>
      </w:r>
      <w:r w:rsidR="00FD474A">
        <w:rPr>
          <w:b/>
        </w:rPr>
        <w:t xml:space="preserve"> </w:t>
      </w:r>
      <w:r w:rsidR="00FD474A" w:rsidRPr="003832EF">
        <w:rPr>
          <w:b/>
        </w:rPr>
        <w:t>(Y.-F. Le Lay)</w:t>
      </w:r>
    </w:p>
    <w:p w14:paraId="06408D07" w14:textId="77777777" w:rsidR="00447C0C" w:rsidRDefault="00B55A3E" w:rsidP="00B55A3E">
      <w:pPr>
        <w:spacing w:after="0"/>
        <w:ind w:left="170" w:hanging="170"/>
        <w:jc w:val="both"/>
        <w:rPr>
          <w:sz w:val="20"/>
          <w:lang w:val="en-US"/>
        </w:rPr>
      </w:pPr>
      <w:r w:rsidRPr="00925A57">
        <w:rPr>
          <w:lang w:val="en-US"/>
        </w:rPr>
        <w:t xml:space="preserve">– </w:t>
      </w:r>
      <w:proofErr w:type="spellStart"/>
      <w:r w:rsidR="00925A57" w:rsidRPr="00925A57">
        <w:rPr>
          <w:rFonts w:ascii="Calibri" w:hAnsi="Calibri" w:cs="Calibri"/>
          <w:color w:val="333333"/>
          <w:sz w:val="20"/>
          <w:szCs w:val="20"/>
          <w:shd w:val="clear" w:color="auto" w:fill="FFFFFF"/>
          <w:lang w:val="en-US"/>
        </w:rPr>
        <w:t>Crutzen</w:t>
      </w:r>
      <w:proofErr w:type="spellEnd"/>
      <w:r w:rsidR="00925A57" w:rsidRPr="00925A57">
        <w:rPr>
          <w:rFonts w:ascii="Calibri" w:hAnsi="Calibri" w:cs="Calibri"/>
          <w:color w:val="333333"/>
          <w:sz w:val="20"/>
          <w:szCs w:val="20"/>
          <w:shd w:val="clear" w:color="auto" w:fill="FFFFFF"/>
          <w:lang w:val="en-US"/>
        </w:rPr>
        <w:t xml:space="preserve"> P.J., 2002</w:t>
      </w:r>
      <w:proofErr w:type="gramStart"/>
      <w:r w:rsidR="00925A57" w:rsidRPr="00925A57">
        <w:rPr>
          <w:rFonts w:ascii="Calibri" w:hAnsi="Calibri" w:cs="Calibri"/>
          <w:color w:val="333333"/>
          <w:sz w:val="20"/>
          <w:szCs w:val="20"/>
          <w:shd w:val="clear" w:color="auto" w:fill="FFFFFF"/>
          <w:lang w:val="en-US"/>
        </w:rPr>
        <w:t>,”Geology</w:t>
      </w:r>
      <w:proofErr w:type="gramEnd"/>
      <w:r w:rsidR="00925A57" w:rsidRPr="00925A57">
        <w:rPr>
          <w:rFonts w:ascii="Calibri" w:hAnsi="Calibri" w:cs="Calibri"/>
          <w:color w:val="333333"/>
          <w:sz w:val="20"/>
          <w:szCs w:val="20"/>
          <w:shd w:val="clear" w:color="auto" w:fill="FFFFFF"/>
          <w:lang w:val="en-US"/>
        </w:rPr>
        <w:t xml:space="preserve"> of mankind”, </w:t>
      </w:r>
      <w:r w:rsidR="00925A57" w:rsidRPr="00925A57">
        <w:rPr>
          <w:rFonts w:ascii="Calibri" w:hAnsi="Calibri" w:cs="Calibri"/>
          <w:i/>
          <w:iCs/>
          <w:color w:val="333333"/>
          <w:sz w:val="20"/>
          <w:szCs w:val="20"/>
          <w:shd w:val="clear" w:color="auto" w:fill="FFFFFF"/>
          <w:lang w:val="en-US"/>
        </w:rPr>
        <w:t>Nature</w:t>
      </w:r>
      <w:r w:rsidR="00925A57" w:rsidRPr="00925A57">
        <w:rPr>
          <w:rFonts w:ascii="Calibri" w:hAnsi="Calibri" w:cs="Calibri"/>
          <w:color w:val="333333"/>
          <w:sz w:val="20"/>
          <w:szCs w:val="20"/>
          <w:shd w:val="clear" w:color="auto" w:fill="FFFFFF"/>
          <w:lang w:val="en-US"/>
        </w:rPr>
        <w:t>, vol. 415, p. 23.</w:t>
      </w:r>
    </w:p>
    <w:p w14:paraId="756F0A2D" w14:textId="77777777" w:rsidR="00FA01CE" w:rsidRPr="00FA01CE" w:rsidRDefault="00B55A3E" w:rsidP="008F5550">
      <w:pPr>
        <w:spacing w:after="360"/>
        <w:ind w:left="170" w:hanging="170"/>
        <w:jc w:val="both"/>
        <w:rPr>
          <w:sz w:val="20"/>
        </w:rPr>
      </w:pPr>
      <w:r w:rsidRPr="00925A57">
        <w:t xml:space="preserve">– </w:t>
      </w:r>
      <w:r w:rsidR="00925A57" w:rsidRPr="00925A57">
        <w:rPr>
          <w:sz w:val="20"/>
        </w:rPr>
        <w:t xml:space="preserve">Latour B., </w:t>
      </w:r>
      <w:r w:rsidR="00925A57">
        <w:rPr>
          <w:sz w:val="20"/>
        </w:rPr>
        <w:t>1991</w:t>
      </w:r>
      <w:r w:rsidR="00925A57" w:rsidRPr="00925A57">
        <w:rPr>
          <w:sz w:val="20"/>
        </w:rPr>
        <w:t xml:space="preserve">, </w:t>
      </w:r>
      <w:r w:rsidR="00925A57" w:rsidRPr="00925A57">
        <w:rPr>
          <w:i/>
          <w:sz w:val="20"/>
        </w:rPr>
        <w:t>Nous n’avons jamais été modernes. Essai d’anthropologie symétrique</w:t>
      </w:r>
      <w:r w:rsidR="00925A57">
        <w:rPr>
          <w:sz w:val="20"/>
        </w:rPr>
        <w:t>, Paris, La découverte, 211 p</w:t>
      </w:r>
      <w:r w:rsidR="00FA01CE" w:rsidRPr="00FA01CE">
        <w:rPr>
          <w:sz w:val="20"/>
        </w:rPr>
        <w:t>.</w:t>
      </w:r>
    </w:p>
    <w:p w14:paraId="65737188" w14:textId="77777777" w:rsidR="00A20EB0" w:rsidRDefault="00A20EB0" w:rsidP="006D23CD">
      <w:pPr>
        <w:jc w:val="both"/>
        <w:rPr>
          <w:b/>
        </w:rPr>
      </w:pPr>
    </w:p>
    <w:p w14:paraId="3FE648DF" w14:textId="04F53EC4" w:rsidR="006D23CD" w:rsidRPr="00C73159" w:rsidRDefault="00794021" w:rsidP="006D23CD">
      <w:pPr>
        <w:jc w:val="both"/>
        <w:rPr>
          <w:b/>
        </w:rPr>
      </w:pPr>
      <w:r>
        <w:rPr>
          <w:b/>
        </w:rPr>
        <w:lastRenderedPageBreak/>
        <w:t>27</w:t>
      </w:r>
      <w:r w:rsidR="006D23CD">
        <w:rPr>
          <w:b/>
        </w:rPr>
        <w:t>/</w:t>
      </w:r>
      <w:r>
        <w:rPr>
          <w:b/>
        </w:rPr>
        <w:t>09</w:t>
      </w:r>
      <w:r w:rsidR="004F0A36">
        <w:rPr>
          <w:b/>
        </w:rPr>
        <w:t>/2</w:t>
      </w:r>
      <w:r>
        <w:rPr>
          <w:b/>
        </w:rPr>
        <w:t>4</w:t>
      </w:r>
      <w:r w:rsidR="006D23CD" w:rsidRPr="00C73159">
        <w:rPr>
          <w:b/>
        </w:rPr>
        <w:t xml:space="preserve"> – Un demi-siècle d'engagements environnementalistes (1968-2018) (</w:t>
      </w:r>
      <w:r w:rsidR="004F0A36">
        <w:rPr>
          <w:b/>
        </w:rPr>
        <w:t xml:space="preserve">L. </w:t>
      </w:r>
      <w:proofErr w:type="spellStart"/>
      <w:r w:rsidR="004F0A36">
        <w:rPr>
          <w:b/>
        </w:rPr>
        <w:t>Dall’Aglio</w:t>
      </w:r>
      <w:proofErr w:type="spellEnd"/>
      <w:r w:rsidR="006D23CD" w:rsidRPr="00C73159">
        <w:rPr>
          <w:b/>
        </w:rPr>
        <w:t>)</w:t>
      </w:r>
    </w:p>
    <w:p w14:paraId="00867BD7" w14:textId="77777777" w:rsidR="006D23CD" w:rsidRPr="00C73159" w:rsidRDefault="006D23CD" w:rsidP="006D23CD">
      <w:pPr>
        <w:spacing w:after="0"/>
        <w:ind w:left="170" w:hanging="170"/>
        <w:jc w:val="both"/>
        <w:rPr>
          <w:sz w:val="20"/>
        </w:rPr>
      </w:pPr>
      <w:r w:rsidRPr="00C73159">
        <w:t xml:space="preserve">– </w:t>
      </w:r>
      <w:r w:rsidRPr="00C73159">
        <w:rPr>
          <w:sz w:val="20"/>
        </w:rPr>
        <w:t xml:space="preserve">Antoine S., 2007, « De l'interministériel au ministère de l'Environnement », </w:t>
      </w:r>
      <w:r w:rsidRPr="00C73159">
        <w:rPr>
          <w:i/>
          <w:sz w:val="20"/>
        </w:rPr>
        <w:t>Responsabilité &amp; Environnement</w:t>
      </w:r>
      <w:r w:rsidRPr="00C73159">
        <w:rPr>
          <w:sz w:val="20"/>
        </w:rPr>
        <w:t>, n°46, p. 19-26.</w:t>
      </w:r>
    </w:p>
    <w:p w14:paraId="42499F01" w14:textId="77777777" w:rsidR="006D23CD" w:rsidRPr="00C73159" w:rsidRDefault="006D23CD" w:rsidP="006D23CD">
      <w:pPr>
        <w:spacing w:after="0"/>
        <w:ind w:left="170" w:hanging="170"/>
        <w:jc w:val="both"/>
        <w:rPr>
          <w:sz w:val="20"/>
        </w:rPr>
      </w:pPr>
      <w:r w:rsidRPr="00C73159">
        <w:t xml:space="preserve">– </w:t>
      </w:r>
      <w:proofErr w:type="spellStart"/>
      <w:r w:rsidRPr="00C73159">
        <w:rPr>
          <w:sz w:val="20"/>
          <w:szCs w:val="20"/>
        </w:rPr>
        <w:t>Frioux</w:t>
      </w:r>
      <w:proofErr w:type="spellEnd"/>
      <w:r w:rsidRPr="00C73159">
        <w:rPr>
          <w:sz w:val="20"/>
          <w:szCs w:val="20"/>
        </w:rPr>
        <w:t xml:space="preserve"> S., 2018, « Jalons pour une histoire environnementale contemporaine », </w:t>
      </w:r>
      <w:r w:rsidRPr="00C73159">
        <w:rPr>
          <w:i/>
          <w:sz w:val="20"/>
          <w:szCs w:val="20"/>
        </w:rPr>
        <w:t>Le Mouvement social</w:t>
      </w:r>
      <w:r w:rsidRPr="00C73159">
        <w:rPr>
          <w:sz w:val="20"/>
          <w:szCs w:val="20"/>
        </w:rPr>
        <w:t>, n°262</w:t>
      </w:r>
      <w:r w:rsidRPr="00C73159">
        <w:rPr>
          <w:sz w:val="20"/>
        </w:rPr>
        <w:t>.</w:t>
      </w:r>
    </w:p>
    <w:p w14:paraId="1D65B02D" w14:textId="07323108" w:rsidR="006D23CD" w:rsidRPr="00301F0C" w:rsidRDefault="006D23CD" w:rsidP="00301F0C">
      <w:pPr>
        <w:spacing w:after="0"/>
        <w:jc w:val="both"/>
      </w:pPr>
      <w:r w:rsidRPr="00C73159">
        <w:t>–</w:t>
      </w:r>
      <w:r w:rsidR="00301F0C">
        <w:t xml:space="preserve"> </w:t>
      </w:r>
      <w:r w:rsidR="00301F0C" w:rsidRPr="00301F0C">
        <w:t xml:space="preserve">Le </w:t>
      </w:r>
      <w:proofErr w:type="spellStart"/>
      <w:r w:rsidR="00301F0C" w:rsidRPr="00301F0C">
        <w:t>Naour</w:t>
      </w:r>
      <w:proofErr w:type="spellEnd"/>
      <w:r w:rsidR="00301F0C">
        <w:t xml:space="preserve"> G.</w:t>
      </w:r>
      <w:r w:rsidR="00301F0C" w:rsidRPr="00301F0C">
        <w:t xml:space="preserve">, « Feyzin (1959 – 1971) : composer avec les débordements de l’industrie dans le sud lyonnais », </w:t>
      </w:r>
      <w:r w:rsidR="00301F0C" w:rsidRPr="00301F0C">
        <w:rPr>
          <w:i/>
          <w:iCs/>
        </w:rPr>
        <w:t>Débordements industriels. Environnement, territoire et conflit</w:t>
      </w:r>
      <w:r w:rsidR="00301F0C" w:rsidRPr="00301F0C">
        <w:t>, 2013</w:t>
      </w:r>
    </w:p>
    <w:p w14:paraId="61245FE0" w14:textId="77777777" w:rsidR="006D23CD" w:rsidRPr="00C73159" w:rsidRDefault="006D23CD" w:rsidP="004F4D48">
      <w:pPr>
        <w:spacing w:after="360"/>
        <w:ind w:left="170" w:hanging="170"/>
        <w:jc w:val="both"/>
        <w:rPr>
          <w:sz w:val="20"/>
        </w:rPr>
      </w:pPr>
      <w:r w:rsidRPr="00C73159">
        <w:t xml:space="preserve">– </w:t>
      </w:r>
      <w:proofErr w:type="spellStart"/>
      <w:r w:rsidRPr="00C73159">
        <w:rPr>
          <w:sz w:val="20"/>
        </w:rPr>
        <w:t>Vrignon</w:t>
      </w:r>
      <w:proofErr w:type="spellEnd"/>
      <w:r w:rsidRPr="00C73159">
        <w:rPr>
          <w:sz w:val="20"/>
        </w:rPr>
        <w:t xml:space="preserve"> A., 2012, « Les écologistes et la protection de la nature et de l'environnement dans les années 1970 », </w:t>
      </w:r>
      <w:r w:rsidRPr="00C73159">
        <w:rPr>
          <w:i/>
          <w:sz w:val="20"/>
        </w:rPr>
        <w:t>Ecologie &amp; politique</w:t>
      </w:r>
      <w:r w:rsidRPr="00C73159">
        <w:rPr>
          <w:sz w:val="20"/>
        </w:rPr>
        <w:t>, n°44, p. 115-125.</w:t>
      </w:r>
    </w:p>
    <w:p w14:paraId="4B7EF0B0" w14:textId="78309A21" w:rsidR="00C366C9" w:rsidRPr="002147D2" w:rsidRDefault="00794021" w:rsidP="00C366C9">
      <w:pPr>
        <w:jc w:val="both"/>
        <w:rPr>
          <w:b/>
        </w:rPr>
      </w:pPr>
      <w:r>
        <w:rPr>
          <w:b/>
        </w:rPr>
        <w:t>11</w:t>
      </w:r>
      <w:r w:rsidR="00963489">
        <w:rPr>
          <w:b/>
        </w:rPr>
        <w:t>/10</w:t>
      </w:r>
      <w:r w:rsidR="004F0A36">
        <w:rPr>
          <w:b/>
        </w:rPr>
        <w:t>/2</w:t>
      </w:r>
      <w:r>
        <w:rPr>
          <w:b/>
        </w:rPr>
        <w:t>4</w:t>
      </w:r>
      <w:r w:rsidR="00C366C9">
        <w:rPr>
          <w:b/>
        </w:rPr>
        <w:t xml:space="preserve"> – </w:t>
      </w:r>
      <w:r w:rsidR="00C366C9" w:rsidRPr="00925A57">
        <w:rPr>
          <w:b/>
        </w:rPr>
        <w:t>Cartographies</w:t>
      </w:r>
      <w:r w:rsidR="00C366C9">
        <w:rPr>
          <w:b/>
        </w:rPr>
        <w:t xml:space="preserve"> </w:t>
      </w:r>
      <w:r w:rsidR="00C366C9" w:rsidRPr="00925A57">
        <w:rPr>
          <w:b/>
        </w:rPr>
        <w:t>participatives et peuples autochtones</w:t>
      </w:r>
      <w:r w:rsidR="00C366C9">
        <w:rPr>
          <w:b/>
        </w:rPr>
        <w:t xml:space="preserve"> (</w:t>
      </w:r>
      <w:r w:rsidR="004F0A36">
        <w:rPr>
          <w:b/>
        </w:rPr>
        <w:t xml:space="preserve">L. </w:t>
      </w:r>
      <w:proofErr w:type="spellStart"/>
      <w:r w:rsidR="004F0A36">
        <w:rPr>
          <w:b/>
        </w:rPr>
        <w:t>Dall’Aglio</w:t>
      </w:r>
      <w:proofErr w:type="spellEnd"/>
      <w:r w:rsidR="00C366C9">
        <w:rPr>
          <w:b/>
        </w:rPr>
        <w:t>)</w:t>
      </w:r>
    </w:p>
    <w:p w14:paraId="5FE46162" w14:textId="77777777" w:rsidR="00120932" w:rsidRDefault="00120932" w:rsidP="00FC48E1">
      <w:pPr>
        <w:spacing w:after="0"/>
        <w:ind w:left="170" w:hanging="170"/>
        <w:jc w:val="both"/>
        <w:rPr>
          <w:sz w:val="20"/>
        </w:rPr>
      </w:pPr>
      <w:r>
        <w:t xml:space="preserve">– </w:t>
      </w:r>
      <w:r>
        <w:rPr>
          <w:sz w:val="20"/>
        </w:rPr>
        <w:t xml:space="preserve">Hirt I., 2009, « Cartographies autochtones. Eléments pour une analyse critique », </w:t>
      </w:r>
      <w:r w:rsidRPr="00120932">
        <w:rPr>
          <w:i/>
          <w:sz w:val="20"/>
        </w:rPr>
        <w:t>L’Espace géographique</w:t>
      </w:r>
      <w:r>
        <w:rPr>
          <w:sz w:val="20"/>
        </w:rPr>
        <w:t>, vol. 38, p. .171-186.</w:t>
      </w:r>
    </w:p>
    <w:p w14:paraId="19BF03C6" w14:textId="77777777" w:rsidR="00A214B9" w:rsidRDefault="00A214B9" w:rsidP="00A214B9">
      <w:pPr>
        <w:spacing w:after="0"/>
        <w:ind w:left="170" w:hanging="170"/>
        <w:jc w:val="both"/>
        <w:rPr>
          <w:sz w:val="20"/>
        </w:rPr>
      </w:pPr>
      <w:r>
        <w:t xml:space="preserve">– </w:t>
      </w:r>
      <w:proofErr w:type="spellStart"/>
      <w:r>
        <w:rPr>
          <w:sz w:val="20"/>
        </w:rPr>
        <w:t>Palsky</w:t>
      </w:r>
      <w:proofErr w:type="spellEnd"/>
      <w:r>
        <w:rPr>
          <w:sz w:val="20"/>
        </w:rPr>
        <w:t xml:space="preserve"> G., 2013, « </w:t>
      </w:r>
      <w:r w:rsidRPr="00925A57">
        <w:rPr>
          <w:sz w:val="20"/>
        </w:rPr>
        <w:t>Cartographie participative, cartographie indisciplinée</w:t>
      </w:r>
      <w:r>
        <w:rPr>
          <w:sz w:val="20"/>
        </w:rPr>
        <w:t xml:space="preserve"> », </w:t>
      </w:r>
      <w:r w:rsidRPr="00120932">
        <w:rPr>
          <w:i/>
          <w:sz w:val="20"/>
        </w:rPr>
        <w:t>L’Information géographique</w:t>
      </w:r>
      <w:r>
        <w:rPr>
          <w:sz w:val="20"/>
        </w:rPr>
        <w:t>, vol. 77, p. 10-25.</w:t>
      </w:r>
    </w:p>
    <w:p w14:paraId="022FF9B7" w14:textId="3C478439" w:rsidR="00A214B9" w:rsidRPr="00A214B9" w:rsidRDefault="00C366C9" w:rsidP="00A214B9">
      <w:pPr>
        <w:spacing w:after="360"/>
        <w:ind w:left="170" w:hanging="170"/>
        <w:jc w:val="both"/>
        <w:rPr>
          <w:sz w:val="20"/>
          <w:lang w:val="en-US"/>
        </w:rPr>
      </w:pPr>
      <w:r w:rsidRPr="00A214B9">
        <w:rPr>
          <w:lang w:val="en-US"/>
        </w:rPr>
        <w:t xml:space="preserve">– </w:t>
      </w:r>
      <w:proofErr w:type="spellStart"/>
      <w:r w:rsidR="00A214B9" w:rsidRPr="00A214B9">
        <w:rPr>
          <w:sz w:val="20"/>
          <w:lang w:val="en-US"/>
        </w:rPr>
        <w:t>Pualani</w:t>
      </w:r>
      <w:proofErr w:type="spellEnd"/>
      <w:r w:rsidR="00A214B9" w:rsidRPr="00A214B9">
        <w:rPr>
          <w:sz w:val="20"/>
          <w:lang w:val="en-US"/>
        </w:rPr>
        <w:t xml:space="preserve"> Louis</w:t>
      </w:r>
      <w:r w:rsidR="00A214B9">
        <w:rPr>
          <w:sz w:val="20"/>
          <w:lang w:val="en-US"/>
        </w:rPr>
        <w:t xml:space="preserve"> </w:t>
      </w:r>
      <w:proofErr w:type="gramStart"/>
      <w:r w:rsidR="00A214B9">
        <w:rPr>
          <w:sz w:val="20"/>
          <w:lang w:val="en-US"/>
        </w:rPr>
        <w:t xml:space="preserve">R. </w:t>
      </w:r>
      <w:r w:rsidR="00A214B9" w:rsidRPr="00A214B9">
        <w:rPr>
          <w:sz w:val="20"/>
          <w:lang w:val="en-US"/>
        </w:rPr>
        <w:t>,</w:t>
      </w:r>
      <w:proofErr w:type="gramEnd"/>
      <w:r w:rsidR="00A214B9" w:rsidRPr="00A214B9">
        <w:rPr>
          <w:sz w:val="20"/>
          <w:lang w:val="en-US"/>
        </w:rPr>
        <w:t xml:space="preserve"> 2004, « Indigenous </w:t>
      </w:r>
      <w:proofErr w:type="spellStart"/>
      <w:r w:rsidR="00A214B9" w:rsidRPr="00A214B9">
        <w:rPr>
          <w:sz w:val="20"/>
          <w:lang w:val="en-US"/>
        </w:rPr>
        <w:t>Hawaain</w:t>
      </w:r>
      <w:proofErr w:type="spellEnd"/>
      <w:r w:rsidR="00A214B9" w:rsidRPr="00A214B9">
        <w:rPr>
          <w:sz w:val="20"/>
          <w:lang w:val="en-US"/>
        </w:rPr>
        <w:t xml:space="preserve"> Cartographer: in search of</w:t>
      </w:r>
      <w:r w:rsidR="00A214B9">
        <w:rPr>
          <w:sz w:val="20"/>
          <w:lang w:val="en-US"/>
        </w:rPr>
        <w:t xml:space="preserve"> common ground”, </w:t>
      </w:r>
      <w:r w:rsidR="00A214B9">
        <w:rPr>
          <w:i/>
          <w:iCs/>
          <w:sz w:val="20"/>
          <w:lang w:val="en-US"/>
        </w:rPr>
        <w:t>Cartographic perspectives</w:t>
      </w:r>
      <w:r w:rsidR="00A214B9">
        <w:rPr>
          <w:sz w:val="20"/>
          <w:lang w:val="en-US"/>
        </w:rPr>
        <w:t>, vol. 48, 7-23</w:t>
      </w:r>
      <w:r w:rsidR="00A214B9">
        <w:rPr>
          <w:sz w:val="20"/>
          <w:lang w:val="en-US"/>
        </w:rPr>
        <w:tab/>
      </w:r>
      <w:r w:rsidR="000E563B">
        <w:rPr>
          <w:sz w:val="20"/>
          <w:lang w:val="en-US"/>
        </w:rPr>
        <w:tab/>
      </w:r>
    </w:p>
    <w:p w14:paraId="51EE315D" w14:textId="50A56F79" w:rsidR="006D23CD" w:rsidRPr="00C73159" w:rsidRDefault="00794021" w:rsidP="006D23CD">
      <w:pPr>
        <w:jc w:val="both"/>
        <w:rPr>
          <w:b/>
        </w:rPr>
      </w:pPr>
      <w:r>
        <w:rPr>
          <w:b/>
        </w:rPr>
        <w:t>25</w:t>
      </w:r>
      <w:r w:rsidR="00963489">
        <w:rPr>
          <w:b/>
        </w:rPr>
        <w:t>/1</w:t>
      </w:r>
      <w:r>
        <w:rPr>
          <w:b/>
        </w:rPr>
        <w:t>0</w:t>
      </w:r>
      <w:r w:rsidR="004F0A36">
        <w:rPr>
          <w:b/>
        </w:rPr>
        <w:t>/2</w:t>
      </w:r>
      <w:r>
        <w:rPr>
          <w:b/>
        </w:rPr>
        <w:t>4</w:t>
      </w:r>
      <w:r w:rsidR="006D23CD" w:rsidRPr="00C73159">
        <w:rPr>
          <w:b/>
        </w:rPr>
        <w:t xml:space="preserve"> – Inégalités écologiques et environnementales (</w:t>
      </w:r>
      <w:r>
        <w:rPr>
          <w:b/>
        </w:rPr>
        <w:t>M. Préault</w:t>
      </w:r>
      <w:r w:rsidR="006D23CD" w:rsidRPr="00C73159">
        <w:rPr>
          <w:b/>
        </w:rPr>
        <w:t>)</w:t>
      </w:r>
    </w:p>
    <w:p w14:paraId="39E8ADC7" w14:textId="77777777" w:rsidR="006D23CD" w:rsidRPr="00C73159" w:rsidRDefault="006D23CD" w:rsidP="006D23CD">
      <w:pPr>
        <w:spacing w:after="0"/>
        <w:ind w:left="170" w:hanging="170"/>
        <w:jc w:val="both"/>
        <w:rPr>
          <w:sz w:val="20"/>
        </w:rPr>
      </w:pPr>
      <w:r w:rsidRPr="00C73159">
        <w:t xml:space="preserve">– </w:t>
      </w:r>
      <w:r w:rsidRPr="00C73159">
        <w:rPr>
          <w:sz w:val="20"/>
        </w:rPr>
        <w:t xml:space="preserve">Laigle L. et Tual M., 2007, « Conceptions des inégalités écologiques dans cinq pays européens : quelle place dans les politiques de développement urbain durable ? », </w:t>
      </w:r>
      <w:r w:rsidRPr="00C73159">
        <w:rPr>
          <w:i/>
          <w:sz w:val="20"/>
        </w:rPr>
        <w:t>Développement durable et territoires</w:t>
      </w:r>
      <w:r w:rsidRPr="00C73159">
        <w:rPr>
          <w:sz w:val="20"/>
        </w:rPr>
        <w:t>, URL : http://developpementdurable.revues.org/4262.</w:t>
      </w:r>
    </w:p>
    <w:p w14:paraId="2E5F81D6" w14:textId="77777777" w:rsidR="006D23CD" w:rsidRPr="00C73159" w:rsidRDefault="006D23CD" w:rsidP="006D23CD">
      <w:pPr>
        <w:spacing w:after="0"/>
        <w:ind w:left="170" w:hanging="170"/>
        <w:jc w:val="both"/>
        <w:rPr>
          <w:sz w:val="20"/>
          <w:lang w:val="en-US"/>
        </w:rPr>
      </w:pPr>
      <w:r w:rsidRPr="00C73159">
        <w:rPr>
          <w:lang w:val="en-US"/>
        </w:rPr>
        <w:t xml:space="preserve">– </w:t>
      </w:r>
      <w:r w:rsidRPr="00C73159">
        <w:rPr>
          <w:sz w:val="20"/>
          <w:lang w:val="en-US"/>
        </w:rPr>
        <w:t xml:space="preserve">Szasz A. et Meuser M., 1997, “Environmental inequalities: Literature review and proposals for new directions in research and theory”, </w:t>
      </w:r>
      <w:r w:rsidRPr="00C73159">
        <w:rPr>
          <w:i/>
          <w:sz w:val="20"/>
          <w:lang w:val="en-US"/>
        </w:rPr>
        <w:t>Current sociology</w:t>
      </w:r>
      <w:r w:rsidRPr="00C73159">
        <w:rPr>
          <w:sz w:val="20"/>
          <w:lang w:val="en-US"/>
        </w:rPr>
        <w:t>, 45, 3, p. 99-120.</w:t>
      </w:r>
    </w:p>
    <w:p w14:paraId="2104C0B7" w14:textId="77777777" w:rsidR="006D23CD" w:rsidRPr="00C73159" w:rsidRDefault="006D23CD" w:rsidP="006D23CD">
      <w:pPr>
        <w:spacing w:after="360"/>
        <w:ind w:left="170" w:hanging="170"/>
        <w:jc w:val="both"/>
        <w:rPr>
          <w:sz w:val="20"/>
          <w:lang w:val="en-US"/>
        </w:rPr>
      </w:pPr>
      <w:r w:rsidRPr="00C73159">
        <w:rPr>
          <w:lang w:val="en-US"/>
        </w:rPr>
        <w:t xml:space="preserve">– </w:t>
      </w:r>
      <w:r w:rsidRPr="00C73159">
        <w:rPr>
          <w:rFonts w:eastAsia="Times New Roman" w:cs="Arial"/>
          <w:sz w:val="20"/>
          <w:szCs w:val="20"/>
          <w:shd w:val="clear" w:color="auto" w:fill="FFFFFF"/>
          <w:lang w:val="en-US" w:eastAsia="fr-FR"/>
        </w:rPr>
        <w:t xml:space="preserve">Pearce J. et </w:t>
      </w:r>
      <w:proofErr w:type="spellStart"/>
      <w:r w:rsidRPr="00C73159">
        <w:rPr>
          <w:rFonts w:eastAsia="Times New Roman" w:cs="Arial"/>
          <w:sz w:val="20"/>
          <w:szCs w:val="20"/>
          <w:shd w:val="clear" w:color="auto" w:fill="FFFFFF"/>
          <w:lang w:val="en-US" w:eastAsia="fr-FR"/>
        </w:rPr>
        <w:t>Kingham</w:t>
      </w:r>
      <w:proofErr w:type="spellEnd"/>
      <w:r w:rsidRPr="00C73159">
        <w:rPr>
          <w:rFonts w:eastAsia="Times New Roman" w:cs="Arial"/>
          <w:sz w:val="20"/>
          <w:szCs w:val="20"/>
          <w:shd w:val="clear" w:color="auto" w:fill="FFFFFF"/>
          <w:lang w:val="en-US" w:eastAsia="fr-FR"/>
        </w:rPr>
        <w:t xml:space="preserve"> S., 2008, “Environmental inequalities in New Zealand: A national study of air pollution and environmental justice”, </w:t>
      </w:r>
      <w:proofErr w:type="spellStart"/>
      <w:r w:rsidRPr="00C73159">
        <w:rPr>
          <w:rFonts w:eastAsia="Times New Roman" w:cs="Arial"/>
          <w:i/>
          <w:iCs/>
          <w:sz w:val="20"/>
          <w:szCs w:val="20"/>
          <w:lang w:val="en-US" w:eastAsia="fr-FR"/>
        </w:rPr>
        <w:t>Geoforum</w:t>
      </w:r>
      <w:proofErr w:type="spellEnd"/>
      <w:r w:rsidRPr="00C73159">
        <w:rPr>
          <w:rFonts w:eastAsia="Times New Roman" w:cs="Arial"/>
          <w:sz w:val="20"/>
          <w:szCs w:val="20"/>
          <w:shd w:val="clear" w:color="auto" w:fill="FFFFFF"/>
          <w:lang w:val="en-US" w:eastAsia="fr-FR"/>
        </w:rPr>
        <w:t xml:space="preserve">, </w:t>
      </w:r>
      <w:r w:rsidRPr="00C73159">
        <w:rPr>
          <w:rFonts w:eastAsia="Times New Roman" w:cs="Arial"/>
          <w:iCs/>
          <w:sz w:val="20"/>
          <w:szCs w:val="20"/>
          <w:lang w:val="en-US" w:eastAsia="fr-FR"/>
        </w:rPr>
        <w:t>39</w:t>
      </w:r>
      <w:r w:rsidRPr="00C73159">
        <w:rPr>
          <w:rFonts w:eastAsia="Times New Roman" w:cs="Arial"/>
          <w:sz w:val="20"/>
          <w:szCs w:val="20"/>
          <w:shd w:val="clear" w:color="auto" w:fill="FFFFFF"/>
          <w:lang w:val="en-US" w:eastAsia="fr-FR"/>
        </w:rPr>
        <w:t>(2), p.980-993.</w:t>
      </w:r>
    </w:p>
    <w:p w14:paraId="4E61FB61" w14:textId="4987F356" w:rsidR="008A1774" w:rsidRPr="002147D2" w:rsidRDefault="004F0A36" w:rsidP="002147D2">
      <w:pPr>
        <w:spacing w:before="120"/>
        <w:jc w:val="both"/>
        <w:rPr>
          <w:b/>
        </w:rPr>
      </w:pPr>
      <w:r>
        <w:rPr>
          <w:b/>
        </w:rPr>
        <w:t>1</w:t>
      </w:r>
      <w:r w:rsidR="00794021">
        <w:rPr>
          <w:b/>
        </w:rPr>
        <w:t>5</w:t>
      </w:r>
      <w:r>
        <w:rPr>
          <w:b/>
        </w:rPr>
        <w:t>/11/2</w:t>
      </w:r>
      <w:r w:rsidR="00794021">
        <w:rPr>
          <w:b/>
        </w:rPr>
        <w:t>4</w:t>
      </w:r>
      <w:r w:rsidR="003F70D0">
        <w:rPr>
          <w:b/>
        </w:rPr>
        <w:t xml:space="preserve"> </w:t>
      </w:r>
      <w:r w:rsidR="007A2B3F">
        <w:rPr>
          <w:b/>
        </w:rPr>
        <w:t xml:space="preserve">– </w:t>
      </w:r>
      <w:r w:rsidR="00757224" w:rsidRPr="00757224">
        <w:rPr>
          <w:b/>
        </w:rPr>
        <w:t>L'extractivisme, approche critique de la mise en ressource de la nature</w:t>
      </w:r>
      <w:r w:rsidR="003F70D0">
        <w:rPr>
          <w:b/>
        </w:rPr>
        <w:t xml:space="preserve"> </w:t>
      </w:r>
      <w:r w:rsidR="001747DD">
        <w:rPr>
          <w:b/>
        </w:rPr>
        <w:t>(</w:t>
      </w:r>
      <w:r w:rsidR="00794021">
        <w:rPr>
          <w:b/>
        </w:rPr>
        <w:t>M. Préault</w:t>
      </w:r>
      <w:r w:rsidR="001747DD">
        <w:rPr>
          <w:b/>
        </w:rPr>
        <w:t>)</w:t>
      </w:r>
    </w:p>
    <w:p w14:paraId="37B96360" w14:textId="71A697D2" w:rsidR="000E563B" w:rsidRDefault="00137E26" w:rsidP="000E563B">
      <w:pPr>
        <w:tabs>
          <w:tab w:val="left" w:pos="360"/>
          <w:tab w:val="left" w:pos="756"/>
        </w:tabs>
        <w:spacing w:after="0"/>
        <w:ind w:left="170" w:hanging="170"/>
        <w:jc w:val="both"/>
        <w:rPr>
          <w:sz w:val="20"/>
          <w:szCs w:val="20"/>
        </w:rPr>
      </w:pPr>
      <w:r w:rsidRPr="00432D6B">
        <w:t>–</w:t>
      </w:r>
      <w:r w:rsidR="00432D6B">
        <w:t xml:space="preserve"> </w:t>
      </w:r>
      <w:r w:rsidR="00432D6B">
        <w:tab/>
      </w:r>
      <w:proofErr w:type="spellStart"/>
      <w:r w:rsidR="00432D6B" w:rsidRPr="00432D6B">
        <w:rPr>
          <w:sz w:val="20"/>
          <w:szCs w:val="20"/>
        </w:rPr>
        <w:t>Bednik</w:t>
      </w:r>
      <w:proofErr w:type="spellEnd"/>
      <w:r w:rsidR="00432D6B" w:rsidRPr="00432D6B">
        <w:rPr>
          <w:sz w:val="20"/>
          <w:szCs w:val="20"/>
        </w:rPr>
        <w:t xml:space="preserve"> A., 2015, </w:t>
      </w:r>
      <w:r w:rsidR="00432D6B" w:rsidRPr="00432D6B">
        <w:rPr>
          <w:i/>
          <w:sz w:val="20"/>
          <w:szCs w:val="20"/>
        </w:rPr>
        <w:t>Extractivisme : Exploitation industrielle de la nature : logiques, conséquences, résistances</w:t>
      </w:r>
      <w:r w:rsidR="00432D6B" w:rsidRPr="00432D6B">
        <w:rPr>
          <w:sz w:val="20"/>
          <w:szCs w:val="20"/>
        </w:rPr>
        <w:t xml:space="preserve">, </w:t>
      </w:r>
      <w:r w:rsidR="00FC48E1">
        <w:rPr>
          <w:sz w:val="20"/>
          <w:szCs w:val="20"/>
        </w:rPr>
        <w:t>Le passager clandestin, 370 p.</w:t>
      </w:r>
    </w:p>
    <w:p w14:paraId="104D4F54" w14:textId="47FB7B96" w:rsidR="00315F2B" w:rsidRPr="000E563B" w:rsidRDefault="00315F2B" w:rsidP="00315F2B">
      <w:pPr>
        <w:tabs>
          <w:tab w:val="left" w:pos="360"/>
          <w:tab w:val="left" w:pos="756"/>
        </w:tabs>
        <w:spacing w:after="0"/>
        <w:ind w:left="170" w:hanging="170"/>
        <w:jc w:val="both"/>
        <w:rPr>
          <w:sz w:val="20"/>
          <w:szCs w:val="20"/>
        </w:rPr>
      </w:pPr>
      <w:r w:rsidRPr="00432D6B">
        <w:t>–</w:t>
      </w:r>
      <w:r>
        <w:t xml:space="preserve"> </w:t>
      </w:r>
      <w:r>
        <w:tab/>
      </w:r>
      <w:r>
        <w:rPr>
          <w:sz w:val="20"/>
          <w:szCs w:val="20"/>
        </w:rPr>
        <w:t>Carroué, L., « </w:t>
      </w:r>
      <w:r w:rsidRPr="00315F2B">
        <w:rPr>
          <w:sz w:val="20"/>
          <w:szCs w:val="20"/>
        </w:rPr>
        <w:t xml:space="preserve">La révolution du gaz et du pétrole de schiste aux Etats-Unis : enjeux technologiques, territoriaux et géostratégiques », </w:t>
      </w:r>
      <w:proofErr w:type="spellStart"/>
      <w:r w:rsidRPr="00315F2B">
        <w:rPr>
          <w:i/>
          <w:iCs/>
          <w:sz w:val="20"/>
          <w:szCs w:val="20"/>
        </w:rPr>
        <w:t>Géoconfluence</w:t>
      </w:r>
      <w:proofErr w:type="spellEnd"/>
      <w:r w:rsidRPr="00315F2B">
        <w:rPr>
          <w:sz w:val="20"/>
          <w:szCs w:val="20"/>
        </w:rPr>
        <w:t>, 2022</w:t>
      </w:r>
    </w:p>
    <w:p w14:paraId="2073E869" w14:textId="1C178CFE" w:rsidR="00315F2B" w:rsidRPr="00C73159" w:rsidRDefault="00137E26" w:rsidP="008B73BB">
      <w:pPr>
        <w:spacing w:after="360"/>
        <w:ind w:left="170" w:hanging="170"/>
        <w:jc w:val="both"/>
        <w:rPr>
          <w:sz w:val="20"/>
          <w:szCs w:val="20"/>
        </w:rPr>
      </w:pPr>
      <w:r w:rsidRPr="00432D6B">
        <w:t xml:space="preserve">– </w:t>
      </w:r>
      <w:r w:rsidR="00432D6B">
        <w:rPr>
          <w:sz w:val="20"/>
          <w:szCs w:val="20"/>
        </w:rPr>
        <w:t>Duc M.</w:t>
      </w:r>
      <w:r w:rsidR="00432D6B" w:rsidRPr="00432D6B">
        <w:rPr>
          <w:sz w:val="20"/>
          <w:szCs w:val="20"/>
        </w:rPr>
        <w:t xml:space="preserve">, </w:t>
      </w:r>
      <w:r w:rsidR="00432D6B">
        <w:rPr>
          <w:sz w:val="20"/>
          <w:szCs w:val="20"/>
        </w:rPr>
        <w:t xml:space="preserve">2017, </w:t>
      </w:r>
      <w:r w:rsidR="00432D6B" w:rsidRPr="00432D6B">
        <w:rPr>
          <w:sz w:val="20"/>
          <w:szCs w:val="20"/>
        </w:rPr>
        <w:t>« </w:t>
      </w:r>
      <w:hyperlink r:id="rId8" w:history="1">
        <w:r w:rsidR="00432D6B" w:rsidRPr="00C73159">
          <w:rPr>
            <w:rStyle w:val="Lienhypertexte"/>
            <w:color w:val="auto"/>
            <w:sz w:val="20"/>
            <w:szCs w:val="20"/>
            <w:u w:val="none"/>
          </w:rPr>
          <w:t>L’extractivisme sans extraction ? Au Groenland, des politiques de développement territorial entre volontarisme minier et dépossessions</w:t>
        </w:r>
      </w:hyperlink>
      <w:r w:rsidR="00432D6B" w:rsidRPr="00C73159">
        <w:rPr>
          <w:sz w:val="20"/>
          <w:szCs w:val="20"/>
        </w:rPr>
        <w:t> », </w:t>
      </w:r>
      <w:proofErr w:type="spellStart"/>
      <w:r w:rsidR="00432D6B" w:rsidRPr="00C73159">
        <w:rPr>
          <w:i/>
          <w:sz w:val="20"/>
          <w:szCs w:val="20"/>
        </w:rPr>
        <w:t>Géoconfluences</w:t>
      </w:r>
      <w:proofErr w:type="spellEnd"/>
      <w:r w:rsidR="00432D6B" w:rsidRPr="00C73159">
        <w:rPr>
          <w:sz w:val="20"/>
          <w:szCs w:val="20"/>
        </w:rPr>
        <w:t>. URL : http://geoconfluences.ens-lyon.fr/informations-scientifiques/dossiers-regionaux/ailleurs/extractivisme-mines-groenland</w:t>
      </w:r>
    </w:p>
    <w:p w14:paraId="1F17AD9A" w14:textId="365ECD10" w:rsidR="00C366C9" w:rsidRPr="00BB0A59" w:rsidRDefault="00BB0A59" w:rsidP="00C366C9">
      <w:pPr>
        <w:jc w:val="both"/>
        <w:rPr>
          <w:b/>
        </w:rPr>
      </w:pPr>
      <w:r>
        <w:rPr>
          <w:b/>
        </w:rPr>
        <w:t>2</w:t>
      </w:r>
      <w:r w:rsidR="00794021">
        <w:rPr>
          <w:b/>
        </w:rPr>
        <w:t>2</w:t>
      </w:r>
      <w:r>
        <w:rPr>
          <w:b/>
        </w:rPr>
        <w:t>/11</w:t>
      </w:r>
      <w:r w:rsidR="00766730">
        <w:rPr>
          <w:b/>
        </w:rPr>
        <w:t>/2</w:t>
      </w:r>
      <w:r w:rsidR="00794021">
        <w:rPr>
          <w:b/>
        </w:rPr>
        <w:t>4</w:t>
      </w:r>
      <w:bookmarkStart w:id="0" w:name="_GoBack"/>
      <w:bookmarkEnd w:id="0"/>
      <w:r w:rsidR="00C366C9" w:rsidRPr="00C73159">
        <w:rPr>
          <w:b/>
        </w:rPr>
        <w:t xml:space="preserve"> – </w:t>
      </w:r>
      <w:r w:rsidR="00137E26" w:rsidRPr="00C73159">
        <w:rPr>
          <w:b/>
        </w:rPr>
        <w:t xml:space="preserve">Conflits armés, crises politiques et dynamiques environnementales </w:t>
      </w:r>
      <w:r w:rsidR="00C366C9" w:rsidRPr="00C73159">
        <w:rPr>
          <w:b/>
        </w:rPr>
        <w:t>(</w:t>
      </w:r>
      <w:r w:rsidR="00794021">
        <w:rPr>
          <w:b/>
        </w:rPr>
        <w:t>M. Préault</w:t>
      </w:r>
      <w:r w:rsidR="00C366C9" w:rsidRPr="00BB0A59">
        <w:rPr>
          <w:b/>
        </w:rPr>
        <w:t>)</w:t>
      </w:r>
    </w:p>
    <w:p w14:paraId="6A6BA1C4" w14:textId="1CF7F84A" w:rsidR="00C366C9" w:rsidRDefault="00C366C9" w:rsidP="00315F2B">
      <w:pPr>
        <w:tabs>
          <w:tab w:val="left" w:pos="756"/>
        </w:tabs>
        <w:spacing w:after="0"/>
        <w:jc w:val="both"/>
        <w:rPr>
          <w:sz w:val="20"/>
          <w:szCs w:val="20"/>
          <w:lang w:val="en-US"/>
        </w:rPr>
      </w:pPr>
      <w:r w:rsidRPr="00C73159">
        <w:rPr>
          <w:lang w:val="en-US"/>
        </w:rPr>
        <w:t>–</w:t>
      </w:r>
      <w:r w:rsidR="00137E26" w:rsidRPr="00C73159">
        <w:rPr>
          <w:lang w:val="en-US"/>
        </w:rPr>
        <w:t xml:space="preserve"> </w:t>
      </w:r>
      <w:r w:rsidR="00107753" w:rsidRPr="00C73159">
        <w:rPr>
          <w:sz w:val="20"/>
          <w:szCs w:val="20"/>
          <w:lang w:val="en-US"/>
        </w:rPr>
        <w:t xml:space="preserve">Reardon S., 2018, “FARC and the forest: Peace is </w:t>
      </w:r>
      <w:r w:rsidR="002D4E4C" w:rsidRPr="00C73159">
        <w:rPr>
          <w:sz w:val="20"/>
          <w:szCs w:val="20"/>
          <w:lang w:val="en-US"/>
        </w:rPr>
        <w:t>killing</w:t>
      </w:r>
      <w:r w:rsidR="00107753" w:rsidRPr="00C73159">
        <w:rPr>
          <w:sz w:val="20"/>
          <w:szCs w:val="20"/>
          <w:lang w:val="en-US"/>
        </w:rPr>
        <w:t xml:space="preserve"> Colombia’s jungle — and opening it </w:t>
      </w:r>
      <w:r w:rsidR="002D4E4C" w:rsidRPr="00C73159">
        <w:rPr>
          <w:sz w:val="20"/>
          <w:szCs w:val="20"/>
          <w:lang w:val="en-US"/>
        </w:rPr>
        <w:t>up</w:t>
      </w:r>
      <w:r w:rsidR="00107753" w:rsidRPr="00C73159">
        <w:rPr>
          <w:sz w:val="20"/>
          <w:szCs w:val="20"/>
          <w:lang w:val="en-US"/>
        </w:rPr>
        <w:t xml:space="preserve">”, </w:t>
      </w:r>
      <w:r w:rsidR="00107753" w:rsidRPr="00C73159">
        <w:rPr>
          <w:i/>
          <w:sz w:val="20"/>
          <w:szCs w:val="20"/>
          <w:lang w:val="en-US"/>
        </w:rPr>
        <w:t>Nature</w:t>
      </w:r>
      <w:r w:rsidR="00107753" w:rsidRPr="00C73159">
        <w:rPr>
          <w:sz w:val="20"/>
          <w:szCs w:val="20"/>
          <w:lang w:val="en-US"/>
        </w:rPr>
        <w:t xml:space="preserve">, 558, </w:t>
      </w:r>
      <w:r w:rsidR="00107753">
        <w:rPr>
          <w:sz w:val="20"/>
          <w:szCs w:val="20"/>
          <w:lang w:val="en-US"/>
        </w:rPr>
        <w:t>p. 169-</w:t>
      </w:r>
      <w:r w:rsidR="00107753" w:rsidRPr="00A6654A">
        <w:rPr>
          <w:sz w:val="20"/>
          <w:szCs w:val="20"/>
          <w:lang w:val="en-US"/>
        </w:rPr>
        <w:t>170 (News | 12 June 2018)</w:t>
      </w:r>
      <w:r w:rsidR="00107753">
        <w:rPr>
          <w:sz w:val="20"/>
          <w:szCs w:val="20"/>
          <w:lang w:val="en-US"/>
        </w:rPr>
        <w:t>.</w:t>
      </w:r>
    </w:p>
    <w:p w14:paraId="1DF3786F" w14:textId="17A49D72" w:rsidR="00F849BD" w:rsidRDefault="00F849BD" w:rsidP="00315F2B">
      <w:pPr>
        <w:tabs>
          <w:tab w:val="left" w:pos="756"/>
        </w:tabs>
        <w:spacing w:after="0"/>
        <w:jc w:val="both"/>
        <w:rPr>
          <w:lang w:val="en-US"/>
        </w:rPr>
      </w:pPr>
      <w:r w:rsidRPr="003F70D0">
        <w:rPr>
          <w:lang w:val="en-US"/>
        </w:rPr>
        <w:t>–</w:t>
      </w:r>
      <w:r>
        <w:rPr>
          <w:lang w:val="en-US"/>
        </w:rPr>
        <w:t xml:space="preserve"> </w:t>
      </w:r>
      <w:r w:rsidRPr="00F849BD">
        <w:rPr>
          <w:lang w:val="en-US"/>
        </w:rPr>
        <w:t>Bruce Sterling, « The World Is Becoming Uninsurable: part 3 », 1999</w:t>
      </w:r>
      <w:r>
        <w:rPr>
          <w:lang w:val="en-US"/>
        </w:rPr>
        <w:t xml:space="preserve">. </w:t>
      </w:r>
      <w:proofErr w:type="gramStart"/>
      <w:r>
        <w:rPr>
          <w:lang w:val="en-US"/>
        </w:rPr>
        <w:t>URL :</w:t>
      </w:r>
      <w:proofErr w:type="gramEnd"/>
      <w:r>
        <w:rPr>
          <w:lang w:val="en-US"/>
        </w:rPr>
        <w:t xml:space="preserve"> </w:t>
      </w:r>
      <w:r w:rsidRPr="00F849BD">
        <w:rPr>
          <w:lang w:val="en-US"/>
        </w:rPr>
        <w:t>http://www.viridiandesign.org/notes/1-25/Note%2000023.txt</w:t>
      </w:r>
    </w:p>
    <w:p w14:paraId="3E29DE94" w14:textId="77777777" w:rsidR="00137E26" w:rsidRDefault="00137E26" w:rsidP="00107753">
      <w:pPr>
        <w:spacing w:after="0"/>
        <w:ind w:left="170" w:hanging="170"/>
        <w:jc w:val="both"/>
        <w:rPr>
          <w:lang w:val="en-US"/>
        </w:rPr>
      </w:pPr>
      <w:r w:rsidRPr="003F70D0">
        <w:rPr>
          <w:lang w:val="en-US"/>
        </w:rPr>
        <w:t>–</w:t>
      </w:r>
      <w:r>
        <w:rPr>
          <w:lang w:val="en-US"/>
        </w:rPr>
        <w:t xml:space="preserve"> </w:t>
      </w:r>
      <w:r w:rsidR="00107753">
        <w:rPr>
          <w:rFonts w:eastAsia="Times New Roman" w:cs="Arial"/>
          <w:color w:val="222222"/>
          <w:sz w:val="20"/>
          <w:szCs w:val="20"/>
          <w:shd w:val="clear" w:color="auto" w:fill="FFFFFF"/>
          <w:lang w:val="en-US" w:eastAsia="fr-FR"/>
        </w:rPr>
        <w:t>Le Billon P., 200</w:t>
      </w:r>
      <w:r w:rsidR="00B42732">
        <w:rPr>
          <w:rFonts w:eastAsia="Times New Roman" w:cs="Arial"/>
          <w:color w:val="222222"/>
          <w:sz w:val="20"/>
          <w:szCs w:val="20"/>
          <w:shd w:val="clear" w:color="auto" w:fill="FFFFFF"/>
          <w:lang w:val="en-US" w:eastAsia="fr-FR"/>
        </w:rPr>
        <w:t>3</w:t>
      </w:r>
      <w:r w:rsidR="00107753">
        <w:rPr>
          <w:rFonts w:eastAsia="Times New Roman" w:cs="Arial"/>
          <w:color w:val="222222"/>
          <w:sz w:val="20"/>
          <w:szCs w:val="20"/>
          <w:shd w:val="clear" w:color="auto" w:fill="FFFFFF"/>
          <w:lang w:val="en-US" w:eastAsia="fr-FR"/>
        </w:rPr>
        <w:t>,</w:t>
      </w:r>
      <w:r w:rsidR="00107753" w:rsidRPr="00107753">
        <w:rPr>
          <w:rFonts w:eastAsia="Times New Roman" w:cs="Arial"/>
          <w:color w:val="222222"/>
          <w:sz w:val="20"/>
          <w:szCs w:val="20"/>
          <w:shd w:val="clear" w:color="auto" w:fill="FFFFFF"/>
          <w:lang w:val="en-US" w:eastAsia="fr-FR"/>
        </w:rPr>
        <w:t xml:space="preserve"> </w:t>
      </w:r>
      <w:r w:rsidR="00107753">
        <w:rPr>
          <w:rFonts w:eastAsia="Times New Roman" w:cs="Arial"/>
          <w:color w:val="222222"/>
          <w:sz w:val="20"/>
          <w:szCs w:val="20"/>
          <w:shd w:val="clear" w:color="auto" w:fill="FFFFFF"/>
          <w:lang w:val="en-US" w:eastAsia="fr-FR"/>
        </w:rPr>
        <w:t>“</w:t>
      </w:r>
      <w:r w:rsidR="00107753" w:rsidRPr="00107753">
        <w:rPr>
          <w:rFonts w:eastAsia="Times New Roman" w:cs="Arial"/>
          <w:color w:val="222222"/>
          <w:sz w:val="20"/>
          <w:szCs w:val="20"/>
          <w:shd w:val="clear" w:color="auto" w:fill="FFFFFF"/>
          <w:lang w:val="en-US" w:eastAsia="fr-FR"/>
        </w:rPr>
        <w:t>The political ecology of war: natural</w:t>
      </w:r>
      <w:r w:rsidR="00107753">
        <w:rPr>
          <w:rFonts w:eastAsia="Times New Roman" w:cs="Arial"/>
          <w:color w:val="222222"/>
          <w:sz w:val="20"/>
          <w:szCs w:val="20"/>
          <w:shd w:val="clear" w:color="auto" w:fill="FFFFFF"/>
          <w:lang w:val="en-US" w:eastAsia="fr-FR"/>
        </w:rPr>
        <w:t xml:space="preserve"> resources and armed conflicts”, </w:t>
      </w:r>
      <w:r w:rsidR="00107753" w:rsidRPr="00107753">
        <w:rPr>
          <w:rFonts w:eastAsia="Times New Roman" w:cs="Arial"/>
          <w:i/>
          <w:iCs/>
          <w:color w:val="222222"/>
          <w:sz w:val="20"/>
          <w:szCs w:val="20"/>
          <w:lang w:val="en-US" w:eastAsia="fr-FR"/>
        </w:rPr>
        <w:t>Political geography</w:t>
      </w:r>
      <w:r w:rsidR="00107753">
        <w:rPr>
          <w:rFonts w:eastAsia="Times New Roman" w:cs="Arial"/>
          <w:color w:val="222222"/>
          <w:sz w:val="20"/>
          <w:szCs w:val="20"/>
          <w:shd w:val="clear" w:color="auto" w:fill="FFFFFF"/>
          <w:lang w:val="en-US" w:eastAsia="fr-FR"/>
        </w:rPr>
        <w:t xml:space="preserve">, </w:t>
      </w:r>
      <w:r w:rsidR="00107753" w:rsidRPr="00107753">
        <w:rPr>
          <w:rFonts w:eastAsia="Times New Roman" w:cs="Arial"/>
          <w:i/>
          <w:iCs/>
          <w:color w:val="222222"/>
          <w:sz w:val="20"/>
          <w:szCs w:val="20"/>
          <w:lang w:val="en-US" w:eastAsia="fr-FR"/>
        </w:rPr>
        <w:t>20</w:t>
      </w:r>
      <w:r w:rsidR="00107753">
        <w:rPr>
          <w:rFonts w:eastAsia="Times New Roman" w:cs="Arial"/>
          <w:color w:val="222222"/>
          <w:sz w:val="20"/>
          <w:szCs w:val="20"/>
          <w:shd w:val="clear" w:color="auto" w:fill="FFFFFF"/>
          <w:lang w:val="en-US" w:eastAsia="fr-FR"/>
        </w:rPr>
        <w:t xml:space="preserve">(5), </w:t>
      </w:r>
      <w:r w:rsidR="00107753" w:rsidRPr="00107753">
        <w:rPr>
          <w:rFonts w:eastAsia="Times New Roman" w:cs="Arial"/>
          <w:color w:val="222222"/>
          <w:sz w:val="20"/>
          <w:szCs w:val="20"/>
          <w:shd w:val="clear" w:color="auto" w:fill="FFFFFF"/>
          <w:lang w:val="en-US" w:eastAsia="fr-FR"/>
        </w:rPr>
        <w:t>p.561-584.</w:t>
      </w:r>
    </w:p>
    <w:p w14:paraId="674CAFB3" w14:textId="77777777" w:rsidR="00107753" w:rsidRPr="00107753" w:rsidRDefault="00107753" w:rsidP="00107753">
      <w:pPr>
        <w:spacing w:after="0"/>
        <w:ind w:left="170" w:hanging="170"/>
        <w:jc w:val="both"/>
        <w:rPr>
          <w:lang w:val="en-US"/>
        </w:rPr>
      </w:pPr>
      <w:r w:rsidRPr="00107753">
        <w:rPr>
          <w:lang w:val="en-US"/>
        </w:rPr>
        <w:lastRenderedPageBreak/>
        <w:t xml:space="preserve">– </w:t>
      </w:r>
      <w:r w:rsidRPr="00107753">
        <w:rPr>
          <w:rFonts w:eastAsia="Times New Roman" w:cs="Arial"/>
          <w:color w:val="222222"/>
          <w:sz w:val="20"/>
          <w:szCs w:val="20"/>
          <w:shd w:val="clear" w:color="auto" w:fill="FFFFFF"/>
          <w:lang w:val="en-US" w:eastAsia="fr-FR"/>
        </w:rPr>
        <w:t xml:space="preserve">Peluso N.L. et Watts M. (eds), 2001, </w:t>
      </w:r>
      <w:r w:rsidRPr="00107753">
        <w:rPr>
          <w:rFonts w:eastAsia="Times New Roman" w:cs="Arial"/>
          <w:i/>
          <w:iCs/>
          <w:color w:val="222222"/>
          <w:sz w:val="20"/>
          <w:szCs w:val="20"/>
          <w:lang w:val="en-US" w:eastAsia="fr-FR"/>
        </w:rPr>
        <w:t>Violent environments</w:t>
      </w:r>
      <w:r w:rsidRPr="00107753">
        <w:rPr>
          <w:rFonts w:eastAsia="Times New Roman" w:cs="Arial"/>
          <w:color w:val="222222"/>
          <w:sz w:val="20"/>
          <w:szCs w:val="20"/>
          <w:shd w:val="clear" w:color="auto" w:fill="FFFFFF"/>
          <w:lang w:val="en-US" w:eastAsia="fr-FR"/>
        </w:rPr>
        <w:t>, Cornell University Press</w:t>
      </w:r>
      <w:r>
        <w:rPr>
          <w:rFonts w:eastAsia="Times New Roman" w:cs="Arial"/>
          <w:color w:val="222222"/>
          <w:sz w:val="20"/>
          <w:szCs w:val="20"/>
          <w:shd w:val="clear" w:color="auto" w:fill="FFFFFF"/>
          <w:lang w:val="en-US" w:eastAsia="fr-FR"/>
        </w:rPr>
        <w:t>.</w:t>
      </w:r>
    </w:p>
    <w:p w14:paraId="2A8CDF83" w14:textId="6A553594" w:rsidR="004F4D48" w:rsidRPr="00B15546" w:rsidRDefault="00107753" w:rsidP="00B15546">
      <w:pPr>
        <w:spacing w:after="360"/>
        <w:ind w:left="170" w:hanging="170"/>
        <w:jc w:val="both"/>
        <w:rPr>
          <w:rFonts w:eastAsia="Times New Roman" w:cs="Arial"/>
          <w:color w:val="222222"/>
          <w:sz w:val="20"/>
          <w:szCs w:val="20"/>
          <w:shd w:val="clear" w:color="auto" w:fill="FFFFFF"/>
          <w:lang w:val="en-US" w:eastAsia="fr-FR"/>
        </w:rPr>
      </w:pPr>
      <w:r w:rsidRPr="00107753">
        <w:rPr>
          <w:lang w:val="en-US"/>
        </w:rPr>
        <w:t xml:space="preserve">– </w:t>
      </w:r>
      <w:proofErr w:type="spellStart"/>
      <w:r w:rsidRPr="00107753">
        <w:rPr>
          <w:rFonts w:eastAsia="Times New Roman" w:cs="Arial"/>
          <w:color w:val="222222"/>
          <w:sz w:val="20"/>
          <w:szCs w:val="20"/>
          <w:shd w:val="clear" w:color="auto" w:fill="FFFFFF"/>
          <w:lang w:val="en-US" w:eastAsia="fr-FR"/>
        </w:rPr>
        <w:t>Khordagui</w:t>
      </w:r>
      <w:proofErr w:type="spellEnd"/>
      <w:r w:rsidRPr="00107753">
        <w:rPr>
          <w:rFonts w:eastAsia="Times New Roman" w:cs="Arial"/>
          <w:color w:val="222222"/>
          <w:sz w:val="20"/>
          <w:szCs w:val="20"/>
          <w:shd w:val="clear" w:color="auto" w:fill="FFFFFF"/>
          <w:lang w:val="en-US" w:eastAsia="fr-FR"/>
        </w:rPr>
        <w:t xml:space="preserve"> H. et Al-</w:t>
      </w:r>
      <w:proofErr w:type="spellStart"/>
      <w:r w:rsidRPr="00107753">
        <w:rPr>
          <w:rFonts w:eastAsia="Times New Roman" w:cs="Arial"/>
          <w:color w:val="222222"/>
          <w:sz w:val="20"/>
          <w:szCs w:val="20"/>
          <w:shd w:val="clear" w:color="auto" w:fill="FFFFFF"/>
          <w:lang w:val="en-US" w:eastAsia="fr-FR"/>
        </w:rPr>
        <w:t>Ajmi</w:t>
      </w:r>
      <w:proofErr w:type="spellEnd"/>
      <w:r w:rsidRPr="00107753">
        <w:rPr>
          <w:rFonts w:eastAsia="Times New Roman" w:cs="Arial"/>
          <w:color w:val="222222"/>
          <w:sz w:val="20"/>
          <w:szCs w:val="20"/>
          <w:shd w:val="clear" w:color="auto" w:fill="FFFFFF"/>
          <w:lang w:val="en-US" w:eastAsia="fr-FR"/>
        </w:rPr>
        <w:t xml:space="preserve"> D., 1993, Environmental impact of the Gulf War: an integrated preliminary assessment</w:t>
      </w:r>
      <w:r>
        <w:rPr>
          <w:rFonts w:eastAsia="Times New Roman" w:cs="Arial"/>
          <w:color w:val="222222"/>
          <w:sz w:val="20"/>
          <w:szCs w:val="20"/>
          <w:shd w:val="clear" w:color="auto" w:fill="FFFFFF"/>
          <w:lang w:val="en-US" w:eastAsia="fr-FR"/>
        </w:rPr>
        <w:t xml:space="preserve">”, </w:t>
      </w:r>
      <w:r w:rsidRPr="00107753">
        <w:rPr>
          <w:rFonts w:eastAsia="Times New Roman" w:cs="Arial"/>
          <w:i/>
          <w:iCs/>
          <w:color w:val="222222"/>
          <w:sz w:val="20"/>
          <w:szCs w:val="20"/>
          <w:lang w:val="en-US" w:eastAsia="fr-FR"/>
        </w:rPr>
        <w:t>Environmental Management</w:t>
      </w:r>
      <w:r w:rsidRPr="00107753">
        <w:rPr>
          <w:rFonts w:eastAsia="Times New Roman" w:cs="Arial"/>
          <w:color w:val="222222"/>
          <w:sz w:val="20"/>
          <w:szCs w:val="20"/>
          <w:shd w:val="clear" w:color="auto" w:fill="FFFFFF"/>
          <w:lang w:val="en-US" w:eastAsia="fr-FR"/>
        </w:rPr>
        <w:t>,</w:t>
      </w:r>
      <w:r>
        <w:rPr>
          <w:rFonts w:eastAsia="Times New Roman" w:cs="Arial"/>
          <w:color w:val="222222"/>
          <w:sz w:val="20"/>
          <w:szCs w:val="20"/>
          <w:shd w:val="clear" w:color="auto" w:fill="FFFFFF"/>
          <w:lang w:val="en-US" w:eastAsia="fr-FR"/>
        </w:rPr>
        <w:t xml:space="preserve"> </w:t>
      </w:r>
      <w:r w:rsidRPr="00107753">
        <w:rPr>
          <w:rFonts w:eastAsia="Times New Roman" w:cs="Arial"/>
          <w:i/>
          <w:iCs/>
          <w:color w:val="222222"/>
          <w:sz w:val="20"/>
          <w:szCs w:val="20"/>
          <w:lang w:val="en-US" w:eastAsia="fr-FR"/>
        </w:rPr>
        <w:t>17</w:t>
      </w:r>
      <w:r w:rsidRPr="00107753">
        <w:rPr>
          <w:rFonts w:eastAsia="Times New Roman" w:cs="Arial"/>
          <w:color w:val="222222"/>
          <w:sz w:val="20"/>
          <w:szCs w:val="20"/>
          <w:shd w:val="clear" w:color="auto" w:fill="FFFFFF"/>
          <w:lang w:val="en-US" w:eastAsia="fr-FR"/>
        </w:rPr>
        <w:t>(4), p.557-562.</w:t>
      </w:r>
    </w:p>
    <w:p w14:paraId="79677D4D" w14:textId="5331CD44" w:rsidR="00F42CF5" w:rsidRPr="00963489" w:rsidRDefault="008E60EC" w:rsidP="00F42CF5">
      <w:pPr>
        <w:jc w:val="both"/>
        <w:rPr>
          <w:b/>
        </w:rPr>
      </w:pPr>
      <w:r>
        <w:rPr>
          <w:b/>
        </w:rPr>
        <w:t>0</w:t>
      </w:r>
      <w:r w:rsidR="00AF7276">
        <w:rPr>
          <w:b/>
        </w:rPr>
        <w:t>6</w:t>
      </w:r>
      <w:r w:rsidR="004F0A36">
        <w:rPr>
          <w:b/>
        </w:rPr>
        <w:t>/12</w:t>
      </w:r>
      <w:r w:rsidR="00766730">
        <w:rPr>
          <w:b/>
        </w:rPr>
        <w:t>/2</w:t>
      </w:r>
      <w:r w:rsidR="00AF7276">
        <w:rPr>
          <w:b/>
        </w:rPr>
        <w:t>4</w:t>
      </w:r>
      <w:r w:rsidR="00F42CF5">
        <w:rPr>
          <w:b/>
        </w:rPr>
        <w:t xml:space="preserve"> – </w:t>
      </w:r>
      <w:r w:rsidR="00F42CF5" w:rsidRPr="003F70D0">
        <w:rPr>
          <w:b/>
        </w:rPr>
        <w:t>Les documentaires sur l'environnement, un contre-pouvoir</w:t>
      </w:r>
      <w:r w:rsidR="00AF7276">
        <w:rPr>
          <w:b/>
        </w:rPr>
        <w:t> </w:t>
      </w:r>
      <w:r w:rsidR="00F42CF5" w:rsidRPr="003F70D0">
        <w:rPr>
          <w:b/>
        </w:rPr>
        <w:t xml:space="preserve">? </w:t>
      </w:r>
      <w:r w:rsidR="00F42CF5" w:rsidRPr="00963489">
        <w:rPr>
          <w:b/>
        </w:rPr>
        <w:t>(Y.-F. Le Lay)</w:t>
      </w:r>
    </w:p>
    <w:p w14:paraId="145FD2F6" w14:textId="70641B99" w:rsidR="00F42CF5" w:rsidRPr="005D3983" w:rsidRDefault="00F42CF5" w:rsidP="00AA5A92">
      <w:pPr>
        <w:spacing w:after="0"/>
        <w:ind w:left="170" w:hanging="170"/>
        <w:jc w:val="both"/>
        <w:rPr>
          <w:sz w:val="20"/>
          <w:szCs w:val="20"/>
        </w:rPr>
      </w:pPr>
      <w:r w:rsidRPr="005D3983">
        <w:rPr>
          <w:sz w:val="20"/>
          <w:szCs w:val="20"/>
          <w:lang w:val="en-US"/>
        </w:rPr>
        <w:t xml:space="preserve">– </w:t>
      </w:r>
      <w:proofErr w:type="spellStart"/>
      <w:r w:rsidR="00AA5A92" w:rsidRPr="005D3983">
        <w:rPr>
          <w:sz w:val="20"/>
          <w:szCs w:val="20"/>
        </w:rPr>
        <w:t>Staszak</w:t>
      </w:r>
      <w:proofErr w:type="spellEnd"/>
      <w:r w:rsidR="00AA5A92" w:rsidRPr="005D3983">
        <w:rPr>
          <w:sz w:val="20"/>
          <w:szCs w:val="20"/>
        </w:rPr>
        <w:t xml:space="preserve"> J.-F., 2014. « Géographie et cinéma : modes d’emploi ». </w:t>
      </w:r>
      <w:r w:rsidR="00AA5A92" w:rsidRPr="005D3983">
        <w:rPr>
          <w:i/>
          <w:sz w:val="20"/>
          <w:szCs w:val="20"/>
        </w:rPr>
        <w:t>Annales de géographie</w:t>
      </w:r>
      <w:r w:rsidR="00AA5A92" w:rsidRPr="005D3983">
        <w:rPr>
          <w:sz w:val="20"/>
          <w:szCs w:val="20"/>
        </w:rPr>
        <w:t>, n° 695-696, p. 595-604</w:t>
      </w:r>
      <w:r w:rsidRPr="005D3983">
        <w:rPr>
          <w:sz w:val="20"/>
          <w:szCs w:val="20"/>
        </w:rPr>
        <w:t>.</w:t>
      </w:r>
    </w:p>
    <w:p w14:paraId="3B2CD094" w14:textId="77777777" w:rsidR="0043684B" w:rsidRPr="00F42CF5" w:rsidRDefault="0043684B" w:rsidP="00107753">
      <w:pPr>
        <w:spacing w:after="0"/>
        <w:ind w:left="170" w:hanging="170"/>
        <w:jc w:val="both"/>
        <w:rPr>
          <w:sz w:val="20"/>
          <w:szCs w:val="20"/>
        </w:rPr>
      </w:pPr>
    </w:p>
    <w:sectPr w:rsidR="0043684B" w:rsidRPr="00F42CF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27048" w14:textId="77777777" w:rsidR="00726C5C" w:rsidRDefault="00726C5C" w:rsidP="00406CCF">
      <w:pPr>
        <w:spacing w:after="0" w:line="240" w:lineRule="auto"/>
      </w:pPr>
      <w:r>
        <w:separator/>
      </w:r>
    </w:p>
  </w:endnote>
  <w:endnote w:type="continuationSeparator" w:id="0">
    <w:p w14:paraId="2598D82D" w14:textId="77777777" w:rsidR="00726C5C" w:rsidRDefault="00726C5C" w:rsidP="0040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343157"/>
      <w:docPartObj>
        <w:docPartGallery w:val="Page Numbers (Bottom of Page)"/>
        <w:docPartUnique/>
      </w:docPartObj>
    </w:sdtPr>
    <w:sdtEndPr/>
    <w:sdtContent>
      <w:p w14:paraId="6A2B5260" w14:textId="77777777" w:rsidR="00406CCF" w:rsidRDefault="00406CCF">
        <w:pPr>
          <w:pStyle w:val="Pieddepage"/>
          <w:jc w:val="center"/>
        </w:pPr>
        <w:r>
          <w:fldChar w:fldCharType="begin"/>
        </w:r>
        <w:r>
          <w:instrText>PAGE   \* MERGEFORMAT</w:instrText>
        </w:r>
        <w:r>
          <w:fldChar w:fldCharType="separate"/>
        </w:r>
        <w:r w:rsidR="00432438">
          <w:rPr>
            <w:noProof/>
          </w:rPr>
          <w:t>2</w:t>
        </w:r>
        <w:r>
          <w:fldChar w:fldCharType="end"/>
        </w:r>
      </w:p>
    </w:sdtContent>
  </w:sdt>
  <w:p w14:paraId="1B042EF4" w14:textId="77777777" w:rsidR="00406CCF" w:rsidRDefault="00406C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1393F" w14:textId="77777777" w:rsidR="00726C5C" w:rsidRDefault="00726C5C" w:rsidP="00406CCF">
      <w:pPr>
        <w:spacing w:after="0" w:line="240" w:lineRule="auto"/>
      </w:pPr>
      <w:r>
        <w:separator/>
      </w:r>
    </w:p>
  </w:footnote>
  <w:footnote w:type="continuationSeparator" w:id="0">
    <w:p w14:paraId="47D864CC" w14:textId="77777777" w:rsidR="00726C5C" w:rsidRDefault="00726C5C" w:rsidP="00406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tion : Perpetually Ascending" style="width:.75pt;height:.75pt;visibility:visible;mso-wrap-style:square" o:bullet="t">
        <v:imagedata r:id="rId1" o:title="Perpetually Ascending"/>
      </v:shape>
    </w:pict>
  </w:numPicBullet>
  <w:abstractNum w:abstractNumId="0" w15:restartNumberingAfterBreak="0">
    <w:nsid w:val="1DF7397E"/>
    <w:multiLevelType w:val="hybridMultilevel"/>
    <w:tmpl w:val="917E01C6"/>
    <w:lvl w:ilvl="0" w:tplc="46E2C95E">
      <w:start w:val="1"/>
      <w:numFmt w:val="bullet"/>
      <w:lvlText w:val="■"/>
      <w:lvlJc w:val="left"/>
      <w:pPr>
        <w:tabs>
          <w:tab w:val="num" w:pos="720"/>
        </w:tabs>
        <w:ind w:left="720" w:hanging="360"/>
      </w:pPr>
      <w:rPr>
        <w:rFonts w:ascii="Franklin Gothic Book" w:hAnsi="Franklin Gothic Book" w:hint="default"/>
      </w:rPr>
    </w:lvl>
    <w:lvl w:ilvl="1" w:tplc="A8729EB0" w:tentative="1">
      <w:start w:val="1"/>
      <w:numFmt w:val="bullet"/>
      <w:lvlText w:val="■"/>
      <w:lvlJc w:val="left"/>
      <w:pPr>
        <w:tabs>
          <w:tab w:val="num" w:pos="1440"/>
        </w:tabs>
        <w:ind w:left="1440" w:hanging="360"/>
      </w:pPr>
      <w:rPr>
        <w:rFonts w:ascii="Franklin Gothic Book" w:hAnsi="Franklin Gothic Book" w:hint="default"/>
      </w:rPr>
    </w:lvl>
    <w:lvl w:ilvl="2" w:tplc="4122442E" w:tentative="1">
      <w:start w:val="1"/>
      <w:numFmt w:val="bullet"/>
      <w:lvlText w:val="■"/>
      <w:lvlJc w:val="left"/>
      <w:pPr>
        <w:tabs>
          <w:tab w:val="num" w:pos="2160"/>
        </w:tabs>
        <w:ind w:left="2160" w:hanging="360"/>
      </w:pPr>
      <w:rPr>
        <w:rFonts w:ascii="Franklin Gothic Book" w:hAnsi="Franklin Gothic Book" w:hint="default"/>
      </w:rPr>
    </w:lvl>
    <w:lvl w:ilvl="3" w:tplc="01C675B2" w:tentative="1">
      <w:start w:val="1"/>
      <w:numFmt w:val="bullet"/>
      <w:lvlText w:val="■"/>
      <w:lvlJc w:val="left"/>
      <w:pPr>
        <w:tabs>
          <w:tab w:val="num" w:pos="2880"/>
        </w:tabs>
        <w:ind w:left="2880" w:hanging="360"/>
      </w:pPr>
      <w:rPr>
        <w:rFonts w:ascii="Franklin Gothic Book" w:hAnsi="Franklin Gothic Book" w:hint="default"/>
      </w:rPr>
    </w:lvl>
    <w:lvl w:ilvl="4" w:tplc="C1067A8A" w:tentative="1">
      <w:start w:val="1"/>
      <w:numFmt w:val="bullet"/>
      <w:lvlText w:val="■"/>
      <w:lvlJc w:val="left"/>
      <w:pPr>
        <w:tabs>
          <w:tab w:val="num" w:pos="3600"/>
        </w:tabs>
        <w:ind w:left="3600" w:hanging="360"/>
      </w:pPr>
      <w:rPr>
        <w:rFonts w:ascii="Franklin Gothic Book" w:hAnsi="Franklin Gothic Book" w:hint="default"/>
      </w:rPr>
    </w:lvl>
    <w:lvl w:ilvl="5" w:tplc="94DC3E60" w:tentative="1">
      <w:start w:val="1"/>
      <w:numFmt w:val="bullet"/>
      <w:lvlText w:val="■"/>
      <w:lvlJc w:val="left"/>
      <w:pPr>
        <w:tabs>
          <w:tab w:val="num" w:pos="4320"/>
        </w:tabs>
        <w:ind w:left="4320" w:hanging="360"/>
      </w:pPr>
      <w:rPr>
        <w:rFonts w:ascii="Franklin Gothic Book" w:hAnsi="Franklin Gothic Book" w:hint="default"/>
      </w:rPr>
    </w:lvl>
    <w:lvl w:ilvl="6" w:tplc="6CD6E098" w:tentative="1">
      <w:start w:val="1"/>
      <w:numFmt w:val="bullet"/>
      <w:lvlText w:val="■"/>
      <w:lvlJc w:val="left"/>
      <w:pPr>
        <w:tabs>
          <w:tab w:val="num" w:pos="5040"/>
        </w:tabs>
        <w:ind w:left="5040" w:hanging="360"/>
      </w:pPr>
      <w:rPr>
        <w:rFonts w:ascii="Franklin Gothic Book" w:hAnsi="Franklin Gothic Book" w:hint="default"/>
      </w:rPr>
    </w:lvl>
    <w:lvl w:ilvl="7" w:tplc="C756D476" w:tentative="1">
      <w:start w:val="1"/>
      <w:numFmt w:val="bullet"/>
      <w:lvlText w:val="■"/>
      <w:lvlJc w:val="left"/>
      <w:pPr>
        <w:tabs>
          <w:tab w:val="num" w:pos="5760"/>
        </w:tabs>
        <w:ind w:left="5760" w:hanging="360"/>
      </w:pPr>
      <w:rPr>
        <w:rFonts w:ascii="Franklin Gothic Book" w:hAnsi="Franklin Gothic Book" w:hint="default"/>
      </w:rPr>
    </w:lvl>
    <w:lvl w:ilvl="8" w:tplc="45BCAE40" w:tentative="1">
      <w:start w:val="1"/>
      <w:numFmt w:val="bullet"/>
      <w:lvlText w:val="■"/>
      <w:lvlJc w:val="left"/>
      <w:pPr>
        <w:tabs>
          <w:tab w:val="num" w:pos="6480"/>
        </w:tabs>
        <w:ind w:left="6480" w:hanging="360"/>
      </w:pPr>
      <w:rPr>
        <w:rFonts w:ascii="Franklin Gothic Book" w:hAnsi="Franklin Gothic Book" w:hint="default"/>
      </w:rPr>
    </w:lvl>
  </w:abstractNum>
  <w:abstractNum w:abstractNumId="1" w15:restartNumberingAfterBreak="0">
    <w:nsid w:val="560701C8"/>
    <w:multiLevelType w:val="hybridMultilevel"/>
    <w:tmpl w:val="BD423C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5ED7446"/>
    <w:multiLevelType w:val="hybridMultilevel"/>
    <w:tmpl w:val="68AAD266"/>
    <w:lvl w:ilvl="0" w:tplc="90A693B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237652"/>
    <w:multiLevelType w:val="hybridMultilevel"/>
    <w:tmpl w:val="E830147A"/>
    <w:lvl w:ilvl="0" w:tplc="EA1E3290">
      <w:start w:val="1"/>
      <w:numFmt w:val="bullet"/>
      <w:lvlText w:val=""/>
      <w:lvlPicBulletId w:val="0"/>
      <w:lvlJc w:val="left"/>
      <w:pPr>
        <w:tabs>
          <w:tab w:val="num" w:pos="720"/>
        </w:tabs>
        <w:ind w:left="720" w:hanging="360"/>
      </w:pPr>
      <w:rPr>
        <w:rFonts w:ascii="Symbol" w:hAnsi="Symbol" w:hint="default"/>
      </w:rPr>
    </w:lvl>
    <w:lvl w:ilvl="1" w:tplc="0B82E060" w:tentative="1">
      <w:start w:val="1"/>
      <w:numFmt w:val="bullet"/>
      <w:lvlText w:val=""/>
      <w:lvlJc w:val="left"/>
      <w:pPr>
        <w:tabs>
          <w:tab w:val="num" w:pos="1440"/>
        </w:tabs>
        <w:ind w:left="1440" w:hanging="360"/>
      </w:pPr>
      <w:rPr>
        <w:rFonts w:ascii="Symbol" w:hAnsi="Symbol" w:hint="default"/>
      </w:rPr>
    </w:lvl>
    <w:lvl w:ilvl="2" w:tplc="6B4482D6" w:tentative="1">
      <w:start w:val="1"/>
      <w:numFmt w:val="bullet"/>
      <w:lvlText w:val=""/>
      <w:lvlJc w:val="left"/>
      <w:pPr>
        <w:tabs>
          <w:tab w:val="num" w:pos="2160"/>
        </w:tabs>
        <w:ind w:left="2160" w:hanging="360"/>
      </w:pPr>
      <w:rPr>
        <w:rFonts w:ascii="Symbol" w:hAnsi="Symbol" w:hint="default"/>
      </w:rPr>
    </w:lvl>
    <w:lvl w:ilvl="3" w:tplc="ED9AACF2" w:tentative="1">
      <w:start w:val="1"/>
      <w:numFmt w:val="bullet"/>
      <w:lvlText w:val=""/>
      <w:lvlJc w:val="left"/>
      <w:pPr>
        <w:tabs>
          <w:tab w:val="num" w:pos="2880"/>
        </w:tabs>
        <w:ind w:left="2880" w:hanging="360"/>
      </w:pPr>
      <w:rPr>
        <w:rFonts w:ascii="Symbol" w:hAnsi="Symbol" w:hint="default"/>
      </w:rPr>
    </w:lvl>
    <w:lvl w:ilvl="4" w:tplc="4FEEB24E" w:tentative="1">
      <w:start w:val="1"/>
      <w:numFmt w:val="bullet"/>
      <w:lvlText w:val=""/>
      <w:lvlJc w:val="left"/>
      <w:pPr>
        <w:tabs>
          <w:tab w:val="num" w:pos="3600"/>
        </w:tabs>
        <w:ind w:left="3600" w:hanging="360"/>
      </w:pPr>
      <w:rPr>
        <w:rFonts w:ascii="Symbol" w:hAnsi="Symbol" w:hint="default"/>
      </w:rPr>
    </w:lvl>
    <w:lvl w:ilvl="5" w:tplc="D8A25A62" w:tentative="1">
      <w:start w:val="1"/>
      <w:numFmt w:val="bullet"/>
      <w:lvlText w:val=""/>
      <w:lvlJc w:val="left"/>
      <w:pPr>
        <w:tabs>
          <w:tab w:val="num" w:pos="4320"/>
        </w:tabs>
        <w:ind w:left="4320" w:hanging="360"/>
      </w:pPr>
      <w:rPr>
        <w:rFonts w:ascii="Symbol" w:hAnsi="Symbol" w:hint="default"/>
      </w:rPr>
    </w:lvl>
    <w:lvl w:ilvl="6" w:tplc="CA34E996" w:tentative="1">
      <w:start w:val="1"/>
      <w:numFmt w:val="bullet"/>
      <w:lvlText w:val=""/>
      <w:lvlJc w:val="left"/>
      <w:pPr>
        <w:tabs>
          <w:tab w:val="num" w:pos="5040"/>
        </w:tabs>
        <w:ind w:left="5040" w:hanging="360"/>
      </w:pPr>
      <w:rPr>
        <w:rFonts w:ascii="Symbol" w:hAnsi="Symbol" w:hint="default"/>
      </w:rPr>
    </w:lvl>
    <w:lvl w:ilvl="7" w:tplc="DBF043F2" w:tentative="1">
      <w:start w:val="1"/>
      <w:numFmt w:val="bullet"/>
      <w:lvlText w:val=""/>
      <w:lvlJc w:val="left"/>
      <w:pPr>
        <w:tabs>
          <w:tab w:val="num" w:pos="5760"/>
        </w:tabs>
        <w:ind w:left="5760" w:hanging="360"/>
      </w:pPr>
      <w:rPr>
        <w:rFonts w:ascii="Symbol" w:hAnsi="Symbol" w:hint="default"/>
      </w:rPr>
    </w:lvl>
    <w:lvl w:ilvl="8" w:tplc="25187C5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5F"/>
    <w:rsid w:val="00037082"/>
    <w:rsid w:val="00045901"/>
    <w:rsid w:val="0006640B"/>
    <w:rsid w:val="000B1FAD"/>
    <w:rsid w:val="000E563B"/>
    <w:rsid w:val="00103A18"/>
    <w:rsid w:val="00107753"/>
    <w:rsid w:val="00115798"/>
    <w:rsid w:val="00120932"/>
    <w:rsid w:val="00126809"/>
    <w:rsid w:val="00126D5E"/>
    <w:rsid w:val="00137E26"/>
    <w:rsid w:val="001576C4"/>
    <w:rsid w:val="0017035B"/>
    <w:rsid w:val="00171965"/>
    <w:rsid w:val="001747DD"/>
    <w:rsid w:val="00175C70"/>
    <w:rsid w:val="00182D94"/>
    <w:rsid w:val="00187E80"/>
    <w:rsid w:val="001A4AF6"/>
    <w:rsid w:val="001B18FF"/>
    <w:rsid w:val="001B3BF8"/>
    <w:rsid w:val="001C761D"/>
    <w:rsid w:val="001E2A35"/>
    <w:rsid w:val="001E4692"/>
    <w:rsid w:val="001F0048"/>
    <w:rsid w:val="001F5B42"/>
    <w:rsid w:val="002059A6"/>
    <w:rsid w:val="002147D2"/>
    <w:rsid w:val="00220E5D"/>
    <w:rsid w:val="0029383B"/>
    <w:rsid w:val="002D4E4C"/>
    <w:rsid w:val="002E4432"/>
    <w:rsid w:val="002E7A30"/>
    <w:rsid w:val="00301F0C"/>
    <w:rsid w:val="00302DF4"/>
    <w:rsid w:val="00315F2B"/>
    <w:rsid w:val="00320A85"/>
    <w:rsid w:val="003832EF"/>
    <w:rsid w:val="00390CBF"/>
    <w:rsid w:val="003B065F"/>
    <w:rsid w:val="003E1C97"/>
    <w:rsid w:val="003E44FE"/>
    <w:rsid w:val="003F70D0"/>
    <w:rsid w:val="00406CCF"/>
    <w:rsid w:val="00411FA0"/>
    <w:rsid w:val="00432438"/>
    <w:rsid w:val="00432D6B"/>
    <w:rsid w:val="0043684B"/>
    <w:rsid w:val="00447C0C"/>
    <w:rsid w:val="00461ADE"/>
    <w:rsid w:val="00470906"/>
    <w:rsid w:val="004836F2"/>
    <w:rsid w:val="004B17D2"/>
    <w:rsid w:val="004C2584"/>
    <w:rsid w:val="004D1FE1"/>
    <w:rsid w:val="004F0A36"/>
    <w:rsid w:val="004F28F4"/>
    <w:rsid w:val="004F4D48"/>
    <w:rsid w:val="004F5BE6"/>
    <w:rsid w:val="004F6AF1"/>
    <w:rsid w:val="005718DC"/>
    <w:rsid w:val="00572ED1"/>
    <w:rsid w:val="0057737D"/>
    <w:rsid w:val="005B0313"/>
    <w:rsid w:val="005C3CED"/>
    <w:rsid w:val="005D3983"/>
    <w:rsid w:val="006160C2"/>
    <w:rsid w:val="0062760B"/>
    <w:rsid w:val="00645855"/>
    <w:rsid w:val="00646201"/>
    <w:rsid w:val="006913F9"/>
    <w:rsid w:val="0069536C"/>
    <w:rsid w:val="006A10B6"/>
    <w:rsid w:val="006A4FFB"/>
    <w:rsid w:val="006A5B75"/>
    <w:rsid w:val="006B404C"/>
    <w:rsid w:val="006D23CD"/>
    <w:rsid w:val="00700D86"/>
    <w:rsid w:val="00725912"/>
    <w:rsid w:val="00726C5C"/>
    <w:rsid w:val="00745A76"/>
    <w:rsid w:val="00757224"/>
    <w:rsid w:val="00760185"/>
    <w:rsid w:val="007662DF"/>
    <w:rsid w:val="00766730"/>
    <w:rsid w:val="00794021"/>
    <w:rsid w:val="007A2B3F"/>
    <w:rsid w:val="007A3C92"/>
    <w:rsid w:val="007F731C"/>
    <w:rsid w:val="00804A8B"/>
    <w:rsid w:val="00823B9B"/>
    <w:rsid w:val="00846182"/>
    <w:rsid w:val="00847172"/>
    <w:rsid w:val="00866CE2"/>
    <w:rsid w:val="008A1774"/>
    <w:rsid w:val="008B73BB"/>
    <w:rsid w:val="008D5081"/>
    <w:rsid w:val="008E2BBE"/>
    <w:rsid w:val="008E60EC"/>
    <w:rsid w:val="008F5550"/>
    <w:rsid w:val="00925A57"/>
    <w:rsid w:val="0094207B"/>
    <w:rsid w:val="009448F3"/>
    <w:rsid w:val="009500D9"/>
    <w:rsid w:val="009556BD"/>
    <w:rsid w:val="00957D45"/>
    <w:rsid w:val="00963489"/>
    <w:rsid w:val="00971B4D"/>
    <w:rsid w:val="00977F29"/>
    <w:rsid w:val="00982F0F"/>
    <w:rsid w:val="00991E15"/>
    <w:rsid w:val="009E1D58"/>
    <w:rsid w:val="009F2D89"/>
    <w:rsid w:val="00A17C54"/>
    <w:rsid w:val="00A20EB0"/>
    <w:rsid w:val="00A214B9"/>
    <w:rsid w:val="00A609E3"/>
    <w:rsid w:val="00A71C7F"/>
    <w:rsid w:val="00AA3152"/>
    <w:rsid w:val="00AA5A92"/>
    <w:rsid w:val="00AB54C8"/>
    <w:rsid w:val="00AB775E"/>
    <w:rsid w:val="00AC2F6D"/>
    <w:rsid w:val="00AC35AC"/>
    <w:rsid w:val="00AD5C50"/>
    <w:rsid w:val="00AE6209"/>
    <w:rsid w:val="00AF203A"/>
    <w:rsid w:val="00AF6D8C"/>
    <w:rsid w:val="00AF7276"/>
    <w:rsid w:val="00B03CC3"/>
    <w:rsid w:val="00B15546"/>
    <w:rsid w:val="00B26DB2"/>
    <w:rsid w:val="00B40138"/>
    <w:rsid w:val="00B41A83"/>
    <w:rsid w:val="00B42732"/>
    <w:rsid w:val="00B55A3E"/>
    <w:rsid w:val="00B93F88"/>
    <w:rsid w:val="00BB0A59"/>
    <w:rsid w:val="00BB4F84"/>
    <w:rsid w:val="00BD78B6"/>
    <w:rsid w:val="00BE2D0D"/>
    <w:rsid w:val="00BE3394"/>
    <w:rsid w:val="00BE3476"/>
    <w:rsid w:val="00BF1DAC"/>
    <w:rsid w:val="00BF1F82"/>
    <w:rsid w:val="00C03690"/>
    <w:rsid w:val="00C12945"/>
    <w:rsid w:val="00C173A3"/>
    <w:rsid w:val="00C30663"/>
    <w:rsid w:val="00C366C9"/>
    <w:rsid w:val="00C502FE"/>
    <w:rsid w:val="00C615C3"/>
    <w:rsid w:val="00C7048F"/>
    <w:rsid w:val="00C73159"/>
    <w:rsid w:val="00CC389D"/>
    <w:rsid w:val="00CF104A"/>
    <w:rsid w:val="00CF4669"/>
    <w:rsid w:val="00CF549A"/>
    <w:rsid w:val="00D43FCC"/>
    <w:rsid w:val="00D51881"/>
    <w:rsid w:val="00D84782"/>
    <w:rsid w:val="00D931FE"/>
    <w:rsid w:val="00DA7473"/>
    <w:rsid w:val="00DE545A"/>
    <w:rsid w:val="00E07F0F"/>
    <w:rsid w:val="00E10D10"/>
    <w:rsid w:val="00E14986"/>
    <w:rsid w:val="00E15BD1"/>
    <w:rsid w:val="00E21BEA"/>
    <w:rsid w:val="00E25E2A"/>
    <w:rsid w:val="00E32FCE"/>
    <w:rsid w:val="00E42181"/>
    <w:rsid w:val="00E6273B"/>
    <w:rsid w:val="00E835EF"/>
    <w:rsid w:val="00E84A94"/>
    <w:rsid w:val="00E96790"/>
    <w:rsid w:val="00E96892"/>
    <w:rsid w:val="00EE03B8"/>
    <w:rsid w:val="00EF374E"/>
    <w:rsid w:val="00EF7299"/>
    <w:rsid w:val="00F21186"/>
    <w:rsid w:val="00F23178"/>
    <w:rsid w:val="00F31336"/>
    <w:rsid w:val="00F35146"/>
    <w:rsid w:val="00F37018"/>
    <w:rsid w:val="00F42CF5"/>
    <w:rsid w:val="00F55CEA"/>
    <w:rsid w:val="00F8159C"/>
    <w:rsid w:val="00F81858"/>
    <w:rsid w:val="00F849BD"/>
    <w:rsid w:val="00F91010"/>
    <w:rsid w:val="00F941F4"/>
    <w:rsid w:val="00FA01CE"/>
    <w:rsid w:val="00FA795F"/>
    <w:rsid w:val="00FC0016"/>
    <w:rsid w:val="00FC1665"/>
    <w:rsid w:val="00FC48E1"/>
    <w:rsid w:val="00FD474A"/>
    <w:rsid w:val="00FE07D8"/>
    <w:rsid w:val="00FE6BA9"/>
    <w:rsid w:val="00FF1C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3054"/>
  <w15:docId w15:val="{81B73C0B-C12A-4166-AD91-4BC7A44E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1774"/>
    <w:pPr>
      <w:ind w:left="720"/>
      <w:contextualSpacing/>
    </w:pPr>
  </w:style>
  <w:style w:type="paragraph" w:styleId="Textedebulles">
    <w:name w:val="Balloon Text"/>
    <w:basedOn w:val="Normal"/>
    <w:link w:val="TextedebullesCar"/>
    <w:uiPriority w:val="99"/>
    <w:semiHidden/>
    <w:unhideWhenUsed/>
    <w:rsid w:val="001576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76C4"/>
    <w:rPr>
      <w:rFonts w:ascii="Tahoma" w:hAnsi="Tahoma" w:cs="Tahoma"/>
      <w:sz w:val="16"/>
      <w:szCs w:val="16"/>
    </w:rPr>
  </w:style>
  <w:style w:type="table" w:styleId="Grilledutableau">
    <w:name w:val="Table Grid"/>
    <w:basedOn w:val="TableauNormal"/>
    <w:uiPriority w:val="59"/>
    <w:rsid w:val="00866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06CCF"/>
    <w:pPr>
      <w:tabs>
        <w:tab w:val="center" w:pos="4536"/>
        <w:tab w:val="right" w:pos="9072"/>
      </w:tabs>
      <w:spacing w:after="0" w:line="240" w:lineRule="auto"/>
    </w:pPr>
  </w:style>
  <w:style w:type="character" w:customStyle="1" w:styleId="En-tteCar">
    <w:name w:val="En-tête Car"/>
    <w:basedOn w:val="Policepardfaut"/>
    <w:link w:val="En-tte"/>
    <w:uiPriority w:val="99"/>
    <w:rsid w:val="00406CCF"/>
  </w:style>
  <w:style w:type="paragraph" w:styleId="Pieddepage">
    <w:name w:val="footer"/>
    <w:basedOn w:val="Normal"/>
    <w:link w:val="PieddepageCar"/>
    <w:uiPriority w:val="99"/>
    <w:unhideWhenUsed/>
    <w:rsid w:val="00406C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6CCF"/>
  </w:style>
  <w:style w:type="character" w:styleId="Lienhypertexte">
    <w:name w:val="Hyperlink"/>
    <w:basedOn w:val="Policepardfaut"/>
    <w:uiPriority w:val="99"/>
    <w:unhideWhenUsed/>
    <w:rsid w:val="00137E26"/>
    <w:rPr>
      <w:color w:val="0000FF" w:themeColor="hyperlink"/>
      <w:u w:val="single"/>
    </w:rPr>
  </w:style>
  <w:style w:type="character" w:styleId="Accentuation">
    <w:name w:val="Emphasis"/>
    <w:basedOn w:val="Policepardfaut"/>
    <w:uiPriority w:val="20"/>
    <w:qFormat/>
    <w:rsid w:val="00432D6B"/>
    <w:rPr>
      <w:i/>
      <w:iCs/>
    </w:rPr>
  </w:style>
  <w:style w:type="character" w:styleId="Mentionnonrsolue">
    <w:name w:val="Unresolved Mention"/>
    <w:basedOn w:val="Policepardfaut"/>
    <w:uiPriority w:val="99"/>
    <w:semiHidden/>
    <w:unhideWhenUsed/>
    <w:rsid w:val="00315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1224">
      <w:bodyDiv w:val="1"/>
      <w:marLeft w:val="0"/>
      <w:marRight w:val="0"/>
      <w:marTop w:val="0"/>
      <w:marBottom w:val="0"/>
      <w:divBdr>
        <w:top w:val="none" w:sz="0" w:space="0" w:color="auto"/>
        <w:left w:val="none" w:sz="0" w:space="0" w:color="auto"/>
        <w:bottom w:val="none" w:sz="0" w:space="0" w:color="auto"/>
        <w:right w:val="none" w:sz="0" w:space="0" w:color="auto"/>
      </w:divBdr>
    </w:div>
    <w:div w:id="1062018666">
      <w:bodyDiv w:val="1"/>
      <w:marLeft w:val="0"/>
      <w:marRight w:val="0"/>
      <w:marTop w:val="0"/>
      <w:marBottom w:val="0"/>
      <w:divBdr>
        <w:top w:val="none" w:sz="0" w:space="0" w:color="auto"/>
        <w:left w:val="none" w:sz="0" w:space="0" w:color="auto"/>
        <w:bottom w:val="none" w:sz="0" w:space="0" w:color="auto"/>
        <w:right w:val="none" w:sz="0" w:space="0" w:color="auto"/>
      </w:divBdr>
      <w:divsChild>
        <w:div w:id="1895697704">
          <w:marLeft w:val="605"/>
          <w:marRight w:val="0"/>
          <w:marTop w:val="200"/>
          <w:marBottom w:val="40"/>
          <w:divBdr>
            <w:top w:val="none" w:sz="0" w:space="0" w:color="auto"/>
            <w:left w:val="none" w:sz="0" w:space="0" w:color="auto"/>
            <w:bottom w:val="none" w:sz="0" w:space="0" w:color="auto"/>
            <w:right w:val="none" w:sz="0" w:space="0" w:color="auto"/>
          </w:divBdr>
        </w:div>
      </w:divsChild>
    </w:div>
    <w:div w:id="1175803660">
      <w:bodyDiv w:val="1"/>
      <w:marLeft w:val="0"/>
      <w:marRight w:val="0"/>
      <w:marTop w:val="0"/>
      <w:marBottom w:val="0"/>
      <w:divBdr>
        <w:top w:val="none" w:sz="0" w:space="0" w:color="auto"/>
        <w:left w:val="none" w:sz="0" w:space="0" w:color="auto"/>
        <w:bottom w:val="none" w:sz="0" w:space="0" w:color="auto"/>
        <w:right w:val="none" w:sz="0" w:space="0" w:color="auto"/>
      </w:divBdr>
    </w:div>
    <w:div w:id="1672220833">
      <w:bodyDiv w:val="1"/>
      <w:marLeft w:val="0"/>
      <w:marRight w:val="0"/>
      <w:marTop w:val="0"/>
      <w:marBottom w:val="0"/>
      <w:divBdr>
        <w:top w:val="none" w:sz="0" w:space="0" w:color="auto"/>
        <w:left w:val="none" w:sz="0" w:space="0" w:color="auto"/>
        <w:bottom w:val="none" w:sz="0" w:space="0" w:color="auto"/>
        <w:right w:val="none" w:sz="0" w:space="0" w:color="auto"/>
      </w:divBdr>
    </w:div>
    <w:div w:id="1707441587">
      <w:bodyDiv w:val="1"/>
      <w:marLeft w:val="0"/>
      <w:marRight w:val="0"/>
      <w:marTop w:val="0"/>
      <w:marBottom w:val="0"/>
      <w:divBdr>
        <w:top w:val="none" w:sz="0" w:space="0" w:color="auto"/>
        <w:left w:val="none" w:sz="0" w:space="0" w:color="auto"/>
        <w:bottom w:val="none" w:sz="0" w:space="0" w:color="auto"/>
        <w:right w:val="none" w:sz="0" w:space="0" w:color="auto"/>
      </w:divBdr>
    </w:div>
    <w:div w:id="2015721081">
      <w:bodyDiv w:val="1"/>
      <w:marLeft w:val="0"/>
      <w:marRight w:val="0"/>
      <w:marTop w:val="0"/>
      <w:marBottom w:val="0"/>
      <w:divBdr>
        <w:top w:val="none" w:sz="0" w:space="0" w:color="auto"/>
        <w:left w:val="none" w:sz="0" w:space="0" w:color="auto"/>
        <w:bottom w:val="none" w:sz="0" w:space="0" w:color="auto"/>
        <w:right w:val="none" w:sz="0" w:space="0" w:color="auto"/>
      </w:divBdr>
    </w:div>
    <w:div w:id="2083332341">
      <w:bodyDiv w:val="1"/>
      <w:marLeft w:val="0"/>
      <w:marRight w:val="0"/>
      <w:marTop w:val="0"/>
      <w:marBottom w:val="0"/>
      <w:divBdr>
        <w:top w:val="none" w:sz="0" w:space="0" w:color="auto"/>
        <w:left w:val="none" w:sz="0" w:space="0" w:color="auto"/>
        <w:bottom w:val="none" w:sz="0" w:space="0" w:color="auto"/>
        <w:right w:val="none" w:sz="0" w:space="0" w:color="auto"/>
      </w:divBdr>
    </w:div>
    <w:div w:id="209415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confluences.ens-lyon.fr/informations-scientifiques/dossiers-regionaux/ailleurs/extractivisme-mines-groenland"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1153</Words>
  <Characters>6345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Evaluateur</dc:creator>
  <cp:lastModifiedBy>Le lay Yves-francois</cp:lastModifiedBy>
  <cp:revision>3</cp:revision>
  <cp:lastPrinted>2022-09-05T11:43:00Z</cp:lastPrinted>
  <dcterms:created xsi:type="dcterms:W3CDTF">2024-06-14T08:28:00Z</dcterms:created>
  <dcterms:modified xsi:type="dcterms:W3CDTF">2024-06-24T08:00:00Z</dcterms:modified>
</cp:coreProperties>
</file>